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1B" w:rsidRDefault="00A2701B" w:rsidP="00A2701B">
      <w:pPr>
        <w:ind w:left="1" w:hanging="3"/>
        <w:jc w:val="right"/>
        <w:rPr>
          <w:color w:val="auto"/>
          <w:position w:val="0"/>
          <w:sz w:val="28"/>
          <w:szCs w:val="28"/>
          <w:lang w:val="en-US" w:eastAsia="ar-SA"/>
        </w:rPr>
      </w:pPr>
      <w:r>
        <w:rPr>
          <w:sz w:val="28"/>
          <w:szCs w:val="28"/>
          <w:highlight w:val="yellow"/>
        </w:rPr>
        <w:t>ПРОЄКТ</w:t>
      </w:r>
      <w:r>
        <w:rPr>
          <w:sz w:val="28"/>
          <w:szCs w:val="28"/>
          <w:lang w:val="en-US"/>
        </w:rPr>
        <w:t xml:space="preserve"> </w:t>
      </w:r>
    </w:p>
    <w:p w:rsidR="00DC7B0A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:rsidR="00DC7B0A" w:rsidRPr="00AA564E" w:rsidRDefault="00761CAF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AA564E">
        <w:rPr>
          <w:b/>
          <w:sz w:val="28"/>
          <w:szCs w:val="28"/>
        </w:rPr>
        <w:t>МІНІСТЕРСТВО ОСВІТИ І НАУКИ УКРАЇНИ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:rsidR="00DC7B0A" w:rsidRPr="00AA564E" w:rsidRDefault="00761CAF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AA564E">
        <w:rPr>
          <w:b/>
          <w:sz w:val="28"/>
          <w:szCs w:val="28"/>
        </w:rPr>
        <w:t>КИЇВСЬКИЙ НАЦІОНАЛЬНИЙ УНІВЕРСИТЕТ ІМЕНІ ТАРАСА ШЕВЧЕНКА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:rsidR="00DC7B0A" w:rsidRPr="00AA564E" w:rsidRDefault="00DC7B0A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</w:p>
    <w:p w:rsidR="00DC7B0A" w:rsidRPr="00AA564E" w:rsidRDefault="00761CAF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center"/>
        <w:rPr>
          <w:sz w:val="28"/>
          <w:szCs w:val="28"/>
        </w:rPr>
      </w:pPr>
      <w:r w:rsidRPr="00AA564E">
        <w:rPr>
          <w:sz w:val="28"/>
          <w:szCs w:val="28"/>
        </w:rPr>
        <w:t>«ЗАТВЕРДЖУЮ»</w:t>
      </w:r>
    </w:p>
    <w:p w:rsidR="00DC7B0A" w:rsidRPr="00AA564E" w:rsidRDefault="00761CAF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  <w:r w:rsidRPr="00AA564E">
        <w:rPr>
          <w:sz w:val="28"/>
          <w:szCs w:val="28"/>
        </w:rPr>
        <w:t>Ректор</w:t>
      </w:r>
    </w:p>
    <w:p w:rsidR="00DC7B0A" w:rsidRPr="00AA564E" w:rsidRDefault="00DC7B0A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</w:p>
    <w:p w:rsidR="00DC7B0A" w:rsidRPr="00AA564E" w:rsidRDefault="00761CAF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  <w:r w:rsidRPr="00AA564E">
        <w:rPr>
          <w:sz w:val="28"/>
          <w:szCs w:val="28"/>
        </w:rPr>
        <w:t>_________________ Володимир БУГРОВ</w:t>
      </w:r>
    </w:p>
    <w:p w:rsidR="00DC7B0A" w:rsidRPr="00AA564E" w:rsidRDefault="00761CAF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  <w:r w:rsidRPr="00AA564E">
        <w:rPr>
          <w:sz w:val="28"/>
          <w:szCs w:val="28"/>
        </w:rPr>
        <w:t>«_____» ___________________ 202_ р.</w:t>
      </w:r>
    </w:p>
    <w:p w:rsidR="00DC7B0A" w:rsidRPr="00AA564E" w:rsidRDefault="00DC7B0A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5" w:hanging="2"/>
        <w:jc w:val="left"/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bookmarkStart w:id="0" w:name="_GoBack"/>
      <w:bookmarkEnd w:id="0"/>
    </w:p>
    <w:p w:rsidR="00DC7B0A" w:rsidRPr="00AA564E" w:rsidRDefault="00761CAF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AA564E">
        <w:rPr>
          <w:b/>
          <w:sz w:val="28"/>
          <w:szCs w:val="28"/>
        </w:rPr>
        <w:t>ОСВІТНЬО-НАУКОВА ПРОГРАМА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AA564E">
        <w:rPr>
          <w:b/>
          <w:sz w:val="28"/>
          <w:szCs w:val="28"/>
        </w:rPr>
        <w:t>«ІНФОРМАТИКА»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AA564E">
        <w:rPr>
          <w:b/>
          <w:sz w:val="28"/>
          <w:szCs w:val="28"/>
        </w:rPr>
        <w:t>Рівень вищої освіти: другий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AA564E">
        <w:rPr>
          <w:sz w:val="28"/>
          <w:szCs w:val="28"/>
        </w:rPr>
        <w:t>(редакція від «     »_______________ 202_ р. затверджена рішенням Вченої ради)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sz w:val="28"/>
          <w:szCs w:val="28"/>
        </w:rPr>
      </w:pPr>
      <w:r w:rsidRPr="00AA564E">
        <w:rPr>
          <w:b/>
          <w:sz w:val="28"/>
          <w:szCs w:val="28"/>
        </w:rPr>
        <w:t>на здобуття освітнього ступеню: магістр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sz w:val="28"/>
          <w:szCs w:val="28"/>
        </w:rPr>
      </w:pPr>
      <w:r w:rsidRPr="00AA564E">
        <w:rPr>
          <w:b/>
          <w:sz w:val="28"/>
          <w:szCs w:val="28"/>
        </w:rPr>
        <w:t xml:space="preserve">за спеціальністю  №122 «Комп’ютерні науки» 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sz w:val="28"/>
          <w:szCs w:val="28"/>
          <w:u w:val="single"/>
        </w:rPr>
      </w:pPr>
      <w:r w:rsidRPr="00AA564E">
        <w:rPr>
          <w:b/>
          <w:sz w:val="28"/>
          <w:szCs w:val="28"/>
        </w:rPr>
        <w:t>галузі знань  №12 «Інформаційні технології»</w:t>
      </w:r>
      <w:r w:rsidRPr="00AA564E">
        <w:rPr>
          <w:b/>
          <w:sz w:val="28"/>
          <w:szCs w:val="28"/>
          <w:u w:val="single"/>
        </w:rPr>
        <w:t xml:space="preserve"> 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:rsidR="00DC7B0A" w:rsidRPr="00AA564E" w:rsidRDefault="00761CAF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jc w:val="left"/>
        <w:rPr>
          <w:sz w:val="28"/>
          <w:szCs w:val="28"/>
        </w:rPr>
      </w:pPr>
      <w:r w:rsidRPr="00AA564E">
        <w:rPr>
          <w:sz w:val="28"/>
          <w:szCs w:val="28"/>
        </w:rPr>
        <w:t>Розглянуто та затверджено</w:t>
      </w:r>
    </w:p>
    <w:p w:rsidR="00DC7B0A" w:rsidRPr="00AA564E" w:rsidRDefault="00761CAF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jc w:val="left"/>
        <w:rPr>
          <w:sz w:val="28"/>
          <w:szCs w:val="28"/>
        </w:rPr>
      </w:pPr>
      <w:r w:rsidRPr="00AA564E">
        <w:rPr>
          <w:sz w:val="28"/>
          <w:szCs w:val="28"/>
        </w:rPr>
        <w:t xml:space="preserve">на засіданні Вченої ради </w:t>
      </w:r>
    </w:p>
    <w:p w:rsidR="00DC7B0A" w:rsidRPr="00AA564E" w:rsidRDefault="00761CAF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jc w:val="left"/>
        <w:rPr>
          <w:sz w:val="28"/>
          <w:szCs w:val="28"/>
        </w:rPr>
      </w:pPr>
      <w:r w:rsidRPr="00AA564E">
        <w:rPr>
          <w:sz w:val="28"/>
          <w:szCs w:val="28"/>
        </w:rPr>
        <w:t>від «___» ___________ 20__ р.</w:t>
      </w:r>
    </w:p>
    <w:p w:rsidR="00DC7B0A" w:rsidRPr="00AA564E" w:rsidRDefault="00761CAF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jc w:val="left"/>
        <w:rPr>
          <w:sz w:val="28"/>
          <w:szCs w:val="28"/>
        </w:rPr>
      </w:pPr>
      <w:r w:rsidRPr="00AA564E">
        <w:rPr>
          <w:sz w:val="28"/>
          <w:szCs w:val="28"/>
        </w:rPr>
        <w:t>протокол № ___</w:t>
      </w:r>
    </w:p>
    <w:p w:rsidR="00DC7B0A" w:rsidRPr="00AA564E" w:rsidRDefault="00DC7B0A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538" w:left="6093" w:hanging="2"/>
        <w:jc w:val="left"/>
      </w:pPr>
    </w:p>
    <w:p w:rsidR="00DC7B0A" w:rsidRPr="00AA564E" w:rsidRDefault="00761CAF" w:rsidP="006F316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jc w:val="left"/>
        <w:rPr>
          <w:sz w:val="28"/>
          <w:szCs w:val="28"/>
        </w:rPr>
      </w:pPr>
      <w:r w:rsidRPr="00AA564E">
        <w:rPr>
          <w:sz w:val="28"/>
          <w:szCs w:val="28"/>
        </w:rPr>
        <w:t>Введено в дію наказом ректора від «____» __________20___ за №____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left"/>
        <w:rPr>
          <w:sz w:val="28"/>
          <w:szCs w:val="28"/>
        </w:rPr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0"/>
          <w:szCs w:val="20"/>
        </w:rPr>
      </w:pPr>
      <w:r w:rsidRPr="00AA564E">
        <w:rPr>
          <w:sz w:val="28"/>
          <w:szCs w:val="28"/>
        </w:rPr>
        <w:t>Київ  2022 р.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  <w:sectPr w:rsidR="00DC7B0A" w:rsidRPr="00AA564E">
          <w:footerReference w:type="default" r:id="rId8"/>
          <w:pgSz w:w="11906" w:h="16838"/>
          <w:pgMar w:top="1134" w:right="567" w:bottom="1134" w:left="1418" w:header="708" w:footer="709" w:gutter="0"/>
          <w:pgNumType w:start="1"/>
          <w:cols w:space="720"/>
        </w:sectPr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AA564E">
        <w:rPr>
          <w:b/>
          <w:sz w:val="28"/>
          <w:szCs w:val="28"/>
        </w:rPr>
        <w:lastRenderedPageBreak/>
        <w:t>ЛИСТ ПОГОДЖЕННЯ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 w:rsidRPr="00AA564E">
        <w:rPr>
          <w:b/>
          <w:sz w:val="28"/>
          <w:szCs w:val="28"/>
        </w:rPr>
        <w:t xml:space="preserve">освітньо-наукової програми </w:t>
      </w:r>
      <w:r w:rsidR="006F316F" w:rsidRPr="00AA564E">
        <w:rPr>
          <w:b/>
          <w:sz w:val="28"/>
          <w:szCs w:val="28"/>
          <w:lang w:val="uk-UA"/>
        </w:rPr>
        <w:t>«Інформатика»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AA564E">
        <w:rPr>
          <w:b/>
        </w:rPr>
        <w:t>1.1 Науково-методична рада:</w:t>
      </w:r>
      <w:r w:rsidRPr="00AA564E">
        <w:t xml:space="preserve">  протокол №_____ від «__»_______20___ р.</w:t>
      </w:r>
      <w:r w:rsidRPr="00AA564E">
        <w:br/>
        <w:t>_____________________________________________________________________________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AA564E">
        <w:rPr>
          <w:b/>
          <w:vertAlign w:val="superscript"/>
        </w:rPr>
        <w:t>(особливі умови, за наявності)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r w:rsidRPr="00AA564E">
        <w:t>Голова науково-методичної ради  ____________________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AA564E">
        <w:rPr>
          <w:b/>
        </w:rPr>
        <w:t>2.1 Науково-методичний центр організації навчального процесу:</w:t>
      </w:r>
      <w:r w:rsidRPr="00AA564E">
        <w:t xml:space="preserve">  </w:t>
      </w:r>
      <w:r w:rsidRPr="00AA564E">
        <w:br/>
        <w:t>_____________________________________________________________________________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AA564E">
        <w:rPr>
          <w:b/>
          <w:vertAlign w:val="superscript"/>
        </w:rPr>
        <w:t>(особливі умови, за наявності)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AA564E">
        <w:t>Директор НМЦ _______________________ «__»_______20___ р.</w:t>
      </w:r>
      <w:r w:rsidRPr="00AA564E">
        <w:rPr>
          <w:b/>
        </w:rPr>
        <w:t xml:space="preserve"> 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AA564E">
        <w:rPr>
          <w:b/>
        </w:rPr>
        <w:t>3.1 Сектор моніторингу якості освіти:</w:t>
      </w:r>
      <w:r w:rsidRPr="00AA564E">
        <w:t xml:space="preserve">  </w:t>
      </w:r>
      <w:r w:rsidRPr="00AA564E">
        <w:br/>
        <w:t>_____________________________________________________________________________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AA564E">
        <w:rPr>
          <w:b/>
          <w:vertAlign w:val="superscript"/>
        </w:rPr>
        <w:t>(особливі умови, за наявності)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r w:rsidRPr="00AA564E">
        <w:t>Керівник сектору _______________________ «__»_______20___ р.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u w:val="single"/>
        </w:rPr>
      </w:pPr>
      <w:r w:rsidRPr="00AA564E">
        <w:rPr>
          <w:b/>
        </w:rPr>
        <w:t>4.1 Вчена рада факультету комп’ютерних наук та кібернетики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AA564E">
        <w:t>Протокол №_____ від «__»_______20___ р.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AA564E">
        <w:t>__________________________________________________________________________________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AA564E">
        <w:rPr>
          <w:b/>
          <w:vertAlign w:val="superscript"/>
        </w:rPr>
        <w:t>(особливі умови, за наявності)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AA564E">
        <w:t xml:space="preserve">Голова Вченої ради </w:t>
      </w:r>
      <w:r w:rsidRPr="00AA564E">
        <w:rPr>
          <w:b/>
          <w:u w:val="single"/>
        </w:rPr>
        <w:t>___________________________</w:t>
      </w:r>
      <w:r w:rsidRPr="00AA564E">
        <w:t xml:space="preserve">  Анатолій АНІСІМОВ</w:t>
      </w:r>
      <w:r w:rsidRPr="00AA564E">
        <w:rPr>
          <w:u w:val="single"/>
        </w:rPr>
        <w:t xml:space="preserve"> 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AA564E">
        <w:rPr>
          <w:b/>
        </w:rPr>
        <w:t>4.2 Науково-методична комісія факультету комп’ютерних наук та кібернетики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AA564E">
        <w:t>Протокол №_____ від «__»_______20___ р.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AA564E">
        <w:t>__________________________________________________________________________________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AA564E">
        <w:rPr>
          <w:b/>
          <w:vertAlign w:val="superscript"/>
        </w:rPr>
        <w:t>(особливі умови, за наявності)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AA564E">
        <w:t xml:space="preserve">Голова науково-методичної комісії </w:t>
      </w:r>
      <w:r w:rsidRPr="00AA564E">
        <w:rPr>
          <w:b/>
          <w:u w:val="single"/>
        </w:rPr>
        <w:t>_______________</w:t>
      </w:r>
      <w:r w:rsidRPr="00AA564E">
        <w:t xml:space="preserve"> Людмила ОМЕЛЬЧУК</w:t>
      </w:r>
      <w:r w:rsidRPr="00AA564E">
        <w:rPr>
          <w:u w:val="single"/>
        </w:rPr>
        <w:t xml:space="preserve"> 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AA564E">
        <w:rPr>
          <w:u w:val="single"/>
        </w:rPr>
        <w:t>Розроблено:</w:t>
      </w:r>
    </w:p>
    <w:p w:rsidR="00DC7B0A" w:rsidRPr="00AA564E" w:rsidRDefault="00761CAF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240" w:lineRule="auto"/>
        <w:ind w:left="0" w:hanging="2"/>
        <w:jc w:val="left"/>
      </w:pPr>
      <w:r w:rsidRPr="00AA564E">
        <w:rPr>
          <w:b/>
        </w:rPr>
        <w:t xml:space="preserve">Гарант освітньої програми: </w:t>
      </w:r>
      <w:r w:rsidRPr="00AA564E">
        <w:t>Степан ШКІЛЬНЯК, доктор фізико-математичних наук, професор кафедри теорії та технології програмування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AA564E">
        <w:t>_______________________  «__»_______20___ р.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</w:rPr>
      </w:pPr>
    </w:p>
    <w:p w:rsidR="00DC7B0A" w:rsidRPr="00AA564E" w:rsidRDefault="00761CAF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AA564E">
        <w:rPr>
          <w:b/>
          <w:sz w:val="32"/>
          <w:szCs w:val="32"/>
        </w:rPr>
        <w:lastRenderedPageBreak/>
        <w:t>ІНФОРМАЦІЯ ПРО ЗОВНІШНЮ АПРОБАЦІЮ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AA564E">
        <w:rPr>
          <w:sz w:val="28"/>
          <w:szCs w:val="28"/>
        </w:rPr>
        <w:t xml:space="preserve">А. Рецензії (представників академічної спільноти (ЗВО, національної та галузевої академій наук, тощо) 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AA564E">
        <w:rPr>
          <w:sz w:val="28"/>
          <w:szCs w:val="28"/>
        </w:rPr>
        <w:t>Сергій ЄРШОВ, учений секретар Інституту кібернетики імені В. М. Глушкова НАН України, доктор-фізико-математичних наук, старший науковий співробітник.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AA564E">
        <w:rPr>
          <w:sz w:val="28"/>
          <w:szCs w:val="28"/>
        </w:rPr>
        <w:t xml:space="preserve">Б. Відгуки представників професійних асоціацій 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AA564E">
        <w:rPr>
          <w:sz w:val="28"/>
          <w:szCs w:val="28"/>
        </w:rPr>
        <w:t xml:space="preserve">Андрій ГЛИБОВЕЦЬ, доктор технічних наук, професор декан факультету інформатики Національного університету «Києво-Могилянська академія». 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AA564E">
        <w:rPr>
          <w:sz w:val="28"/>
          <w:szCs w:val="28"/>
        </w:rPr>
        <w:t xml:space="preserve">В. Відгуки представників ринку праці  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AA564E">
        <w:rPr>
          <w:sz w:val="28"/>
          <w:szCs w:val="28"/>
        </w:rPr>
        <w:t>Андрій ФІСУНЕНКО, директор Samsung Research Ukraine.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sectPr w:rsidR="00DC7B0A" w:rsidRPr="00AA564E">
          <w:footerReference w:type="default" r:id="rId9"/>
          <w:pgSz w:w="11906" w:h="16838"/>
          <w:pgMar w:top="1134" w:right="567" w:bottom="1134" w:left="1418" w:header="708" w:footer="709" w:gutter="0"/>
          <w:pgNumType w:start="2"/>
          <w:cols w:space="720"/>
        </w:sectPr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</w:rPr>
      </w:pPr>
      <w:r w:rsidRPr="00AA564E">
        <w:rPr>
          <w:b/>
          <w:sz w:val="32"/>
          <w:szCs w:val="32"/>
        </w:rPr>
        <w:lastRenderedPageBreak/>
        <w:t>ПЕРЕДМОВА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AA564E">
        <w:rPr>
          <w:sz w:val="28"/>
          <w:szCs w:val="28"/>
        </w:rPr>
        <w:t>Розроблено робочою групою у складі:</w:t>
      </w:r>
    </w:p>
    <w:tbl>
      <w:tblPr>
        <w:tblStyle w:val="affb"/>
        <w:tblW w:w="15593" w:type="dxa"/>
        <w:tblInd w:w="-539" w:type="dxa"/>
        <w:tblBorders>
          <w:top w:val="single" w:sz="4" w:space="0" w:color="000000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701"/>
        <w:gridCol w:w="20"/>
        <w:gridCol w:w="2815"/>
        <w:gridCol w:w="992"/>
        <w:gridCol w:w="3827"/>
        <w:gridCol w:w="80"/>
        <w:gridCol w:w="51"/>
        <w:gridCol w:w="2846"/>
      </w:tblGrid>
      <w:tr w:rsidR="00DC7B0A" w:rsidRPr="00AA564E" w:rsidTr="0056460C">
        <w:trPr>
          <w:cantSplit/>
        </w:trPr>
        <w:tc>
          <w:tcPr>
            <w:tcW w:w="1843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Прізвище, ім’я, по батькові керівника та членів проектної групи</w:t>
            </w:r>
          </w:p>
        </w:tc>
        <w:tc>
          <w:tcPr>
            <w:tcW w:w="1418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Найме-нування посади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(для суміс- ників — місце основної роботи, наймену-вання посади)</w:t>
            </w:r>
          </w:p>
        </w:tc>
        <w:tc>
          <w:tcPr>
            <w:tcW w:w="1701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Найменування закладу, який закінчив викладач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(рік закінчення, спеціальність, кваліфікація згідно з документом про вищу освіту)</w:t>
            </w:r>
          </w:p>
        </w:tc>
        <w:tc>
          <w:tcPr>
            <w:tcW w:w="2835" w:type="dxa"/>
            <w:gridSpan w:val="2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Науковий ступінь,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шифр і найменування наукової спеціальності, тема дисертації, вчене звання, за якою кафедрою (спеціальністю) присвоєно </w:t>
            </w:r>
          </w:p>
        </w:tc>
        <w:tc>
          <w:tcPr>
            <w:tcW w:w="992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Стаж науково-педагогічної та/або наукової роботи</w:t>
            </w:r>
          </w:p>
        </w:tc>
        <w:tc>
          <w:tcPr>
            <w:tcW w:w="3907" w:type="dxa"/>
            <w:gridSpan w:val="2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Інформація про наукову діяльність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2897" w:type="dxa"/>
            <w:gridSpan w:val="2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</w:tr>
      <w:tr w:rsidR="00DC7B0A" w:rsidRPr="00AA564E" w:rsidTr="0056460C">
        <w:trPr>
          <w:cantSplit/>
        </w:trPr>
        <w:tc>
          <w:tcPr>
            <w:tcW w:w="1843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Керівник проектної групи</w:t>
            </w:r>
          </w:p>
        </w:tc>
        <w:tc>
          <w:tcPr>
            <w:tcW w:w="1418" w:type="dxa"/>
            <w:vAlign w:val="center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C7B0A" w:rsidRPr="00AA564E" w:rsidTr="0056460C">
        <w:trPr>
          <w:cantSplit/>
        </w:trPr>
        <w:tc>
          <w:tcPr>
            <w:tcW w:w="1843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 xml:space="preserve">Шкільняк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Степан Степанович</w:t>
            </w:r>
          </w:p>
        </w:tc>
        <w:tc>
          <w:tcPr>
            <w:tcW w:w="1418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Професор кафедри теорії та технології програмування</w:t>
            </w:r>
          </w:p>
        </w:tc>
        <w:tc>
          <w:tcPr>
            <w:tcW w:w="1701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Київський ордена Леніна державний університет імені Т.Г. Шевченка, 1973,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Спеціальність: математика, кваліфікація: теоретична кібернетика, диплом з відзнакою Я №786358.</w:t>
            </w:r>
          </w:p>
        </w:tc>
        <w:tc>
          <w:tcPr>
            <w:tcW w:w="2835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Доктор фізико-математичних наук, 113 – прикладна математика (01.05.01 – теоретичні основи інформатики та кібернетики);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“Спектр логік часткових предикатів, орієнтованих на композиційно-номінативні моделі програм” (ДД №009101 від 26.01.2011).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Bчене звання: професор кафедри теорії та технології програмування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(12</w:t>
            </w:r>
            <w:r w:rsidRPr="00AA564E">
              <w:rPr>
                <w:sz w:val="22"/>
                <w:szCs w:val="22"/>
                <w:vertAlign w:val="subscript"/>
              </w:rPr>
              <w:t> </w:t>
            </w:r>
            <w:r w:rsidRPr="00AA564E">
              <w:rPr>
                <w:sz w:val="22"/>
                <w:szCs w:val="22"/>
              </w:rPr>
              <w:t>ПР №009665 від 26.06.2014).</w:t>
            </w:r>
          </w:p>
        </w:tc>
        <w:tc>
          <w:tcPr>
            <w:tcW w:w="992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45 років</w:t>
            </w:r>
          </w:p>
        </w:tc>
        <w:tc>
          <w:tcPr>
            <w:tcW w:w="3907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Автор понад 240 публікацій, з яких понад 120 статей у вітчизняних та закордонних наукових виданнях, у т.ч. 2 монографій, 17 навчальних посібників, підручник з грифом МОН України «Математична логіка та теорія алгоритмів», 528 с., 2008 (авторський внесок 50%). Бере участь у організації та роботі міжнародних наукових конференцій. Вчений секретар наукового семінару "Програмологія та її застосування". Член спеціалізованої вченої ради Д</w:t>
            </w:r>
            <w:r w:rsidRPr="00AA564E">
              <w:rPr>
                <w:sz w:val="22"/>
                <w:szCs w:val="22"/>
                <w:vertAlign w:val="subscript"/>
              </w:rPr>
              <w:t> </w:t>
            </w:r>
            <w:r w:rsidRPr="00AA564E">
              <w:rPr>
                <w:sz w:val="22"/>
                <w:szCs w:val="22"/>
              </w:rPr>
              <w:t>26.001.18. Керівник дипломних та курсових робіт студентів. Державна премія України в галузі освіти 2018 року (Указ Президента України № 301/2018 від 04.10.2018)</w:t>
            </w:r>
          </w:p>
        </w:tc>
        <w:tc>
          <w:tcPr>
            <w:tcW w:w="2897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Підвищення кваліфікації за програмою “Роль гарантів освітніх програм у розбудові внутрішньої програми забезпечення якості вищої освіти” (МОН України, КНУ імені Тараса Шевченка, Сертифікат № 133-21 від 11.03.2021)</w:t>
            </w:r>
          </w:p>
        </w:tc>
      </w:tr>
      <w:tr w:rsidR="00DC7B0A" w:rsidRPr="00AA564E" w:rsidTr="0056460C">
        <w:trPr>
          <w:cantSplit/>
        </w:trPr>
        <w:tc>
          <w:tcPr>
            <w:tcW w:w="1843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Члени проектної групи</w:t>
            </w:r>
          </w:p>
        </w:tc>
        <w:tc>
          <w:tcPr>
            <w:tcW w:w="1418" w:type="dxa"/>
            <w:vAlign w:val="center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C7B0A" w:rsidRPr="00AA564E" w:rsidTr="0056460C">
        <w:trPr>
          <w:cantSplit/>
        </w:trPr>
        <w:tc>
          <w:tcPr>
            <w:tcW w:w="1843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lastRenderedPageBreak/>
              <w:t>Анісімов Анатолій Васильович</w:t>
            </w:r>
          </w:p>
        </w:tc>
        <w:tc>
          <w:tcPr>
            <w:tcW w:w="1418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Декан факультету комп’ютерних наук та кібернетики Київського національного університету імені Тараса Шевченка</w:t>
            </w:r>
          </w:p>
        </w:tc>
        <w:tc>
          <w:tcPr>
            <w:tcW w:w="1701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Київський державний університет імені Тараса Шевченка,  1970 р., математик, інженер-математик</w:t>
            </w:r>
          </w:p>
        </w:tc>
        <w:tc>
          <w:tcPr>
            <w:tcW w:w="2835" w:type="dxa"/>
            <w:gridSpan w:val="2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Чл.-кор. НАНУ, доктор фіз.-мат. наук., 122 – комп’ютерні науки (01.01.09 «математична кібернетика»), професор кафедри математична інформатика,  ПР № 012119, тема докт. дис. «Рекурсивні перетворювачі інформації» ФМ №002396, від 20 липня  1984р.</w:t>
            </w:r>
          </w:p>
        </w:tc>
        <w:tc>
          <w:tcPr>
            <w:tcW w:w="992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48 років</w:t>
            </w:r>
          </w:p>
        </w:tc>
        <w:tc>
          <w:tcPr>
            <w:tcW w:w="3907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Автор 220 наукових статей, 5 монографій, у т.ч.: «Метод вычисления семантической близости-связности между словами естественного языка» (2011), «Метод обчислення семантичної близькості для слів природної мови» (2011).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Бере участь у міжнародних конференціях. Керівник наукових тем. Керує аспірантами та докторантами, керівник дипломних та курсових робіт студентів</w:t>
            </w:r>
          </w:p>
        </w:tc>
        <w:tc>
          <w:tcPr>
            <w:tcW w:w="2897" w:type="dxa"/>
            <w:gridSpan w:val="2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Чл.-кор. НАНУ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(2009).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Участь у Міжнародній конференції CloudNet 2014, Люксембург, 7.10.2014 -11.10.2014.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Участь у виконанні проекту Східного партнерства №370 «Єва», Технологічний коледж економіки та культури, Лейпциг, Німеччина, 01.11.2015-07.11.2015.</w:t>
            </w:r>
          </w:p>
        </w:tc>
      </w:tr>
      <w:tr w:rsidR="00DC7B0A" w:rsidRPr="00AA564E" w:rsidTr="0056460C">
        <w:trPr>
          <w:cantSplit/>
        </w:trPr>
        <w:tc>
          <w:tcPr>
            <w:tcW w:w="1843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Терещенко Василь Миколайович</w:t>
            </w:r>
          </w:p>
        </w:tc>
        <w:tc>
          <w:tcPr>
            <w:tcW w:w="1418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Завідувач кафедри математичної інформатики</w:t>
            </w:r>
          </w:p>
        </w:tc>
        <w:tc>
          <w:tcPr>
            <w:tcW w:w="1701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Київський державний університет імені Тараса Шевченка,  1986,  механіка, механік (МВ-І № 019127, 26.06. 1986)</w:t>
            </w:r>
          </w:p>
        </w:tc>
        <w:tc>
          <w:tcPr>
            <w:tcW w:w="2835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Доктор фіз.-мат. наук,  113 – прикладна математика (01.05.01 «теоретичні основи інформатики та кібернетики»), професор кафедри математичної інформатики (12ПР № 011092 від 15.12.2015), тема докт. дис. «Побудова єдиного алгоритмічного середовища для розв’язування комплексу задач обчислювальної геометрії», диплом доктора фіз.-мат. наук ДД № 000444, від 22.12.2011)</w:t>
            </w:r>
          </w:p>
        </w:tc>
        <w:tc>
          <w:tcPr>
            <w:tcW w:w="992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25 років</w:t>
            </w:r>
          </w:p>
        </w:tc>
        <w:tc>
          <w:tcPr>
            <w:tcW w:w="3907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Автор 82 публікацій, 4 навч. посібників, у т.ч.: «Рекурсия и параллельные алгоритмы в задачах геометрического моделирования» (2010), «Регіональний пошук для множини рухомих точок» (2011), «Обобщенный метод решения комплекса задач в D-визуализации » (2011).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Бере участь у міжнародних конференціях. Керівник наукових тем. Керує аспірантами, керівник дипломних та курсових робіт студентів.</w:t>
            </w:r>
          </w:p>
        </w:tc>
        <w:tc>
          <w:tcPr>
            <w:tcW w:w="2897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22222"/>
                <w:sz w:val="22"/>
                <w:szCs w:val="22"/>
                <w:lang w:val="en-US"/>
              </w:rPr>
            </w:pPr>
            <w:r w:rsidRPr="00AA564E">
              <w:rPr>
                <w:color w:val="222222"/>
                <w:sz w:val="22"/>
                <w:szCs w:val="22"/>
                <w:lang w:val="en-US"/>
              </w:rPr>
              <w:t>Enhancing the Bilateral S&amp;T Partnership with Ukraine*Advanced Innovative Approach, BILAT-UKRAINA ICT in-house Training.</w:t>
            </w:r>
          </w:p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jc w:val="left"/>
              <w:rPr>
                <w:color w:val="222222"/>
                <w:sz w:val="22"/>
                <w:szCs w:val="22"/>
                <w:lang w:val="en-US"/>
              </w:rPr>
            </w:pPr>
            <w:r w:rsidRPr="00AA564E">
              <w:rPr>
                <w:color w:val="222222"/>
                <w:sz w:val="22"/>
                <w:szCs w:val="22"/>
                <w:lang w:val="en-US"/>
              </w:rPr>
              <w:br/>
            </w:r>
            <w:r w:rsidRPr="00AA564E">
              <w:rPr>
                <w:color w:val="222222"/>
                <w:sz w:val="22"/>
                <w:szCs w:val="22"/>
              </w:rPr>
              <w:t>Участь</w:t>
            </w:r>
            <w:r w:rsidRPr="00AA564E">
              <w:rPr>
                <w:color w:val="222222"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color w:val="222222"/>
                <w:sz w:val="22"/>
                <w:szCs w:val="22"/>
              </w:rPr>
              <w:t>в</w:t>
            </w:r>
            <w:r w:rsidRPr="00AA564E">
              <w:rPr>
                <w:color w:val="222222"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color w:val="222222"/>
                <w:sz w:val="22"/>
                <w:szCs w:val="22"/>
              </w:rPr>
              <w:t>заходах</w:t>
            </w:r>
            <w:r w:rsidRPr="00AA564E">
              <w:rPr>
                <w:color w:val="222222"/>
                <w:sz w:val="22"/>
                <w:szCs w:val="22"/>
                <w:lang w:val="en-US"/>
              </w:rPr>
              <w:t> Horizon 2020 Work Programmes ICT 2015.</w:t>
            </w: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7B0A" w:rsidRPr="00AA564E" w:rsidTr="0056460C">
        <w:trPr>
          <w:cantSplit/>
        </w:trPr>
        <w:tc>
          <w:tcPr>
            <w:tcW w:w="1843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lastRenderedPageBreak/>
              <w:t>Нікітченко Микола Степанович</w:t>
            </w:r>
          </w:p>
        </w:tc>
        <w:tc>
          <w:tcPr>
            <w:tcW w:w="1418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Професор кафедри теорії та технології програмування, професор</w:t>
            </w:r>
          </w:p>
        </w:tc>
        <w:tc>
          <w:tcPr>
            <w:tcW w:w="1701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Київський ордена Леніна державний університет імені Т.Г. Шевченка, 1973,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Спеціальність: математика, кваліфікація: теоретична кібернетика, диплом з відзнакою Я№786357</w:t>
            </w:r>
          </w:p>
        </w:tc>
        <w:tc>
          <w:tcPr>
            <w:tcW w:w="2835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Доктор фізико-математичних наук,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122 – комп’ютерні науки (01.05.03 — математичне та програмне забезпечення обчислювальних машин i систем),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“Теорія інтегрованих композиційно-номінативних моделей програм”,  (ДД №002060 від 12.12.2001р.), вчене звання: професор кафедри теорії та технології програмування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(ПР №002855 від 17.02.2005р.)</w:t>
            </w:r>
          </w:p>
        </w:tc>
        <w:tc>
          <w:tcPr>
            <w:tcW w:w="992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45 років</w:t>
            </w:r>
          </w:p>
        </w:tc>
        <w:tc>
          <w:tcPr>
            <w:tcW w:w="3907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Автор понад 200 наукових робіт, у т.ч. 2 монографій, 5 навч. посібників, 2 підручників з грифом МОН України, серед них: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 «Математична логіка та теорія алгоритмів», підручник, 528 с. (2008) (авторський внесок 50%); 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«Технологія програмування інформаційних систем», підручник, 367 с. (2015)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(авторський внесок 30%). Бере участь у організації міжнародних конференцій. Керівник наукових тем. Керує аспірантами, керівник дипломних та курсових робіт студентів.</w:t>
            </w:r>
          </w:p>
        </w:tc>
        <w:tc>
          <w:tcPr>
            <w:tcW w:w="2897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Стажування за програмою 100+100+100.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Тема: Логіко-алгебраїчна формалізація мов специфікації гібридних систем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29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Місце стажування: Університет Тулуза 3 – Поль Сабат’є, м. Тулуза, Франція.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Період стажування: 23 жовтня — 23 грудня 2013 р.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Наказ ректора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№704-32 від 21 червня 2013 року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Наказ МОН №965 від 12.07.13.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Був запрошеним професором у Датському технічному університеті (Лінгбю, Данія, 1997-1998), Університеті Поля Сабат’є (Тулуза, Франція, 2011),  Університеті Йоганна Кеплера (Лінц, Австрія, 2012).</w:t>
            </w:r>
          </w:p>
        </w:tc>
      </w:tr>
      <w:tr w:rsidR="00DC7B0A" w:rsidRPr="00AA564E" w:rsidTr="0056460C">
        <w:trPr>
          <w:cantSplit/>
        </w:trPr>
        <w:tc>
          <w:tcPr>
            <w:tcW w:w="1843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lastRenderedPageBreak/>
              <w:t>Крак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 xml:space="preserve"> Юрій Васильович</w:t>
            </w:r>
          </w:p>
        </w:tc>
        <w:tc>
          <w:tcPr>
            <w:tcW w:w="1418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завідувач кафедри теоретичної кібернетики</w:t>
            </w:r>
          </w:p>
        </w:tc>
        <w:tc>
          <w:tcPr>
            <w:tcW w:w="1701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Київський державний університет імені Тараса Шевченка,  1980 р., прикладна математика, математик</w:t>
            </w:r>
          </w:p>
        </w:tc>
        <w:tc>
          <w:tcPr>
            <w:tcW w:w="2835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Доктор фіз.-мат. наук, 124 – системний аналіз (01.05.04 – системний аналіз і теорія оптимальних рішень), 2000,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“Розробка оптимізаційних методів дослідження складних маніпуляційних систем”, ДД № 000986, 12.01.2000,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професор, професор кафедри моделювання складних систем,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ПР № 001184, 26.02.2002,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 (за наказом МОН № 1151 від 06.11.2015 р. – Доктор наук з інформаційних технологій зі спеціальності «Системний аналіз»)</w:t>
            </w:r>
          </w:p>
        </w:tc>
        <w:tc>
          <w:tcPr>
            <w:tcW w:w="992" w:type="dxa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40 років</w:t>
            </w:r>
          </w:p>
        </w:tc>
        <w:tc>
          <w:tcPr>
            <w:tcW w:w="3907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Автор понад 100 публікацій, у т.ч.: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57" w:hanging="2"/>
              <w:jc w:val="left"/>
              <w:rPr>
                <w:sz w:val="22"/>
                <w:szCs w:val="22"/>
                <w:lang w:val="en-US"/>
              </w:rPr>
            </w:pPr>
            <w:r w:rsidRPr="00AA564E">
              <w:rPr>
                <w:sz w:val="22"/>
                <w:szCs w:val="22"/>
              </w:rPr>
              <w:t xml:space="preserve">  </w:t>
            </w:r>
            <w:r w:rsidRPr="00AA564E">
              <w:rPr>
                <w:sz w:val="22"/>
                <w:szCs w:val="22"/>
                <w:lang w:val="en-US"/>
              </w:rPr>
              <w:t>1. Iu. Krak, Iu. Kryvonos, W. Wojcik, ets. </w:t>
            </w:r>
            <w:r w:rsidRPr="00AA564E">
              <w:rPr>
                <w:i/>
                <w:sz w:val="22"/>
                <w:szCs w:val="22"/>
                <w:lang w:val="en-US"/>
              </w:rPr>
              <w:t>Modelling and Control. Monograph.</w:t>
            </w:r>
            <w:r w:rsidRPr="00AA564E">
              <w:rPr>
                <w:sz w:val="22"/>
                <w:szCs w:val="22"/>
                <w:lang w:val="en-US"/>
              </w:rPr>
              <w:t> // Edited by Jan Sikora and Waldemar Wojcik. – Lublin University of Technology. Poland, 2011. – 516</w:t>
            </w:r>
            <w:r w:rsidRPr="00AA564E">
              <w:rPr>
                <w:sz w:val="22"/>
                <w:szCs w:val="22"/>
              </w:rPr>
              <w:t>р</w:t>
            </w:r>
            <w:r w:rsidRPr="00AA564E">
              <w:rPr>
                <w:sz w:val="22"/>
                <w:szCs w:val="22"/>
                <w:lang w:val="en-US"/>
              </w:rPr>
              <w:t>. – Optimization methods for robot-manipulator systems modeling and control. – p. 463-513.)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57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  <w:lang w:val="en-US"/>
              </w:rPr>
              <w:t xml:space="preserve">2. </w:t>
            </w:r>
            <w:r w:rsidRPr="00AA564E">
              <w:rPr>
                <w:sz w:val="22"/>
                <w:szCs w:val="22"/>
              </w:rPr>
              <w:t>Грицик</w:t>
            </w:r>
            <w:r w:rsidRPr="00AA564E">
              <w:rPr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sz w:val="22"/>
                <w:szCs w:val="22"/>
              </w:rPr>
              <w:t>В</w:t>
            </w:r>
            <w:r w:rsidRPr="00AA564E">
              <w:rPr>
                <w:sz w:val="22"/>
                <w:szCs w:val="22"/>
                <w:lang w:val="en-US"/>
              </w:rPr>
              <w:t>.</w:t>
            </w:r>
            <w:r w:rsidRPr="00AA564E">
              <w:rPr>
                <w:sz w:val="22"/>
                <w:szCs w:val="22"/>
              </w:rPr>
              <w:t>В</w:t>
            </w:r>
            <w:r w:rsidRPr="00AA564E">
              <w:rPr>
                <w:sz w:val="22"/>
                <w:szCs w:val="22"/>
                <w:lang w:val="en-US"/>
              </w:rPr>
              <w:t xml:space="preserve">., </w:t>
            </w:r>
            <w:r w:rsidRPr="00AA564E">
              <w:rPr>
                <w:sz w:val="22"/>
                <w:szCs w:val="22"/>
              </w:rPr>
              <w:t>Крак</w:t>
            </w:r>
            <w:r w:rsidRPr="00AA564E">
              <w:rPr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sz w:val="22"/>
                <w:szCs w:val="22"/>
              </w:rPr>
              <w:t>Ю</w:t>
            </w:r>
            <w:r w:rsidRPr="00AA564E">
              <w:rPr>
                <w:sz w:val="22"/>
                <w:szCs w:val="22"/>
                <w:lang w:val="en-US"/>
              </w:rPr>
              <w:t>.</w:t>
            </w:r>
            <w:r w:rsidRPr="00AA564E">
              <w:rPr>
                <w:sz w:val="22"/>
                <w:szCs w:val="22"/>
              </w:rPr>
              <w:t>В</w:t>
            </w:r>
            <w:r w:rsidRPr="00AA564E">
              <w:rPr>
                <w:sz w:val="22"/>
                <w:szCs w:val="22"/>
                <w:lang w:val="en-US"/>
              </w:rPr>
              <w:t xml:space="preserve">., </w:t>
            </w:r>
            <w:r w:rsidRPr="00AA564E">
              <w:rPr>
                <w:sz w:val="22"/>
                <w:szCs w:val="22"/>
              </w:rPr>
              <w:t>Куляс</w:t>
            </w:r>
            <w:r w:rsidRPr="00AA564E">
              <w:rPr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sz w:val="22"/>
                <w:szCs w:val="22"/>
              </w:rPr>
              <w:t>А</w:t>
            </w:r>
            <w:r w:rsidRPr="00AA564E">
              <w:rPr>
                <w:sz w:val="22"/>
                <w:szCs w:val="22"/>
                <w:lang w:val="en-US"/>
              </w:rPr>
              <w:t>.</w:t>
            </w:r>
            <w:r w:rsidRPr="00AA564E">
              <w:rPr>
                <w:sz w:val="22"/>
                <w:szCs w:val="22"/>
              </w:rPr>
              <w:t>І</w:t>
            </w:r>
            <w:r w:rsidRPr="00AA564E">
              <w:rPr>
                <w:sz w:val="22"/>
                <w:szCs w:val="22"/>
                <w:lang w:val="en-US"/>
              </w:rPr>
              <w:t xml:space="preserve">. </w:t>
            </w:r>
            <w:r w:rsidRPr="00AA564E">
              <w:rPr>
                <w:sz w:val="22"/>
                <w:szCs w:val="22"/>
              </w:rPr>
              <w:t>та</w:t>
            </w:r>
            <w:r w:rsidRPr="00AA564E">
              <w:rPr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sz w:val="22"/>
                <w:szCs w:val="22"/>
              </w:rPr>
              <w:t>ін</w:t>
            </w:r>
            <w:r w:rsidRPr="00AA564E">
              <w:rPr>
                <w:sz w:val="22"/>
                <w:szCs w:val="22"/>
                <w:lang w:val="en-US"/>
              </w:rPr>
              <w:t>. </w:t>
            </w:r>
            <w:r w:rsidRPr="00AA564E">
              <w:rPr>
                <w:i/>
                <w:sz w:val="22"/>
                <w:szCs w:val="22"/>
              </w:rPr>
              <w:t>Математичні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методи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оптимізації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та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інтелектуальні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комп</w:t>
            </w:r>
            <w:r w:rsidRPr="00AA564E">
              <w:rPr>
                <w:i/>
                <w:sz w:val="22"/>
                <w:szCs w:val="22"/>
                <w:lang w:val="en-US"/>
              </w:rPr>
              <w:t>'</w:t>
            </w:r>
            <w:r w:rsidRPr="00AA564E">
              <w:rPr>
                <w:i/>
                <w:sz w:val="22"/>
                <w:szCs w:val="22"/>
              </w:rPr>
              <w:t>ютерні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технології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моделювання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складних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процесів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і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систем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з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урахуванням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просторових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форм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564E">
              <w:rPr>
                <w:i/>
                <w:sz w:val="22"/>
                <w:szCs w:val="22"/>
              </w:rPr>
              <w:t>об</w:t>
            </w:r>
            <w:r w:rsidRPr="00AA564E">
              <w:rPr>
                <w:i/>
                <w:sz w:val="22"/>
                <w:szCs w:val="22"/>
                <w:lang w:val="en-US"/>
              </w:rPr>
              <w:t>'</w:t>
            </w:r>
            <w:r w:rsidRPr="00AA564E">
              <w:rPr>
                <w:i/>
                <w:sz w:val="22"/>
                <w:szCs w:val="22"/>
              </w:rPr>
              <w:t>єктів</w:t>
            </w:r>
            <w:r w:rsidRPr="00AA564E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AA564E">
              <w:rPr>
                <w:i/>
                <w:sz w:val="22"/>
                <w:szCs w:val="22"/>
              </w:rPr>
              <w:t>Монографія.</w:t>
            </w:r>
            <w:r w:rsidRPr="00AA564E">
              <w:rPr>
                <w:sz w:val="22"/>
                <w:szCs w:val="22"/>
              </w:rPr>
              <w:t> // Донецьк: ІПІІ "Наука і освіта", 2011. – 650 с.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Бере участь у міжнародних конференціях. Керівник наукових тем. Керує аспірантами, керівник дипломних та курсових робіт студентів</w:t>
            </w:r>
          </w:p>
        </w:tc>
        <w:tc>
          <w:tcPr>
            <w:tcW w:w="2897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Виконавець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міжнародних грантів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Yale University (USA),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AA564E">
              <w:rPr>
                <w:sz w:val="22"/>
                <w:szCs w:val="22"/>
                <w:lang w:val="en-US"/>
              </w:rPr>
              <w:t>1998,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AA564E">
              <w:rPr>
                <w:sz w:val="22"/>
                <w:szCs w:val="22"/>
                <w:lang w:val="en-US"/>
              </w:rPr>
              <w:t xml:space="preserve">Shalmers University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AA564E">
              <w:rPr>
                <w:sz w:val="22"/>
                <w:szCs w:val="22"/>
                <w:lang w:val="en-US"/>
              </w:rPr>
              <w:t xml:space="preserve">(Sweden), 2002,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AA564E">
              <w:rPr>
                <w:sz w:val="22"/>
                <w:szCs w:val="22"/>
              </w:rPr>
              <w:t>з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AA564E">
              <w:rPr>
                <w:sz w:val="22"/>
                <w:szCs w:val="22"/>
                <w:lang w:val="en-US"/>
              </w:rPr>
              <w:t xml:space="preserve">Lublin University of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Technology (Poland),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2014-1016</w:t>
            </w:r>
          </w:p>
        </w:tc>
      </w:tr>
      <w:tr w:rsidR="00DC7B0A" w:rsidRPr="00AA564E" w:rsidTr="0056460C">
        <w:trPr>
          <w:cantSplit/>
        </w:trPr>
        <w:tc>
          <w:tcPr>
            <w:tcW w:w="1843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lastRenderedPageBreak/>
              <w:t>Омельчук Людмила Леонідівна</w:t>
            </w:r>
          </w:p>
        </w:tc>
        <w:tc>
          <w:tcPr>
            <w:tcW w:w="1418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доцент кафедри теорії та технології програмування</w:t>
            </w:r>
          </w:p>
        </w:tc>
        <w:tc>
          <w:tcPr>
            <w:tcW w:w="1721" w:type="dxa"/>
            <w:gridSpan w:val="2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Київський національний університет імені Тараса Шевченка, 1999, спеціальність – інформатика, кваліфікація – магістр інформатики (КВ №11776924 від 01.07.1999р.)</w:t>
            </w:r>
          </w:p>
        </w:tc>
        <w:tc>
          <w:tcPr>
            <w:tcW w:w="2815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кандидат фізико-математичних наук, кандидатська дисертація “Аксіоматичні системи специфікацій програм над номінативними даними” за спеціальністю 113 – прикладна математика (01.05.01 — теоретичні основи інформатики та кібернетики) (ДК № 041569 від 14.06.2007р.), вчене звання: доцент кафедри теорії та технології програмування (12ДЦ № 044836 від 15.12.2015р.)</w:t>
            </w:r>
          </w:p>
        </w:tc>
        <w:tc>
          <w:tcPr>
            <w:tcW w:w="992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16 років</w:t>
            </w:r>
          </w:p>
        </w:tc>
        <w:tc>
          <w:tcPr>
            <w:tcW w:w="3958" w:type="dxa"/>
            <w:gridSpan w:val="3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Автор 44 публікації, у т.ч.: 9 навчальних посібників (1 навчальний посібник з грифом МОН); серед них: Підручник з грифом МОН України: Зубенко В.В., Омельчук Л.Л. Програмування: навчальний посібник.. – Київ, 2011. – 623 с. (Лист №1.4 / 18 – Г – 2020 від 29.08.08) (авторський внесок 50%); Учасник проектної команди Київського національного університету імені Тараса Шевченка ТЕМПУС-проекту №530601- TEMPUS-1-2012-PL-TEMPUS-SMHES "Informatics and Management: Bologna Style Qualifications Frameworks (INARM)" ("Інформатика і управління: Кваліфікаційні рамки Болонського типу"). Бере участь у міжнародних конференціях, керівник дипломних та курсових робіт студентів.</w:t>
            </w:r>
          </w:p>
        </w:tc>
        <w:tc>
          <w:tcPr>
            <w:tcW w:w="2846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Національний університет «Києво-Могилянська академія», факультет інформатики, наказ по Київському національному університету імені Тараса Шевченка №526-32 від 17.08.2021 р.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“Експерт з акредитації освітніх програм: онлайн тренінг”(Національне агентство із забезпечення якості вищої освіти, 08.11.2020, ідентифікаційний номер сертифікату fa5d5bd1b43e48b7b573684842531379).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“Роль гарантів освітніх програм у розбудові внутрішньої системи забезпечення якості освіти” (МОН України, Київський національний університет імені Тараса Шевченка, Сертифікат № 7772-20 від 01.12.2020)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en-US"/>
              </w:rPr>
            </w:pPr>
            <w:r w:rsidRPr="00AA564E">
              <w:rPr>
                <w:sz w:val="22"/>
                <w:szCs w:val="22"/>
                <w:lang w:val="en-US"/>
              </w:rPr>
              <w:t>Microsoft Certified Technology Specialist (</w:t>
            </w:r>
            <w:r w:rsidRPr="00AA564E">
              <w:rPr>
                <w:sz w:val="22"/>
                <w:szCs w:val="22"/>
              </w:rPr>
              <w:t>сертифікат</w:t>
            </w:r>
            <w:r w:rsidRPr="00AA564E">
              <w:rPr>
                <w:sz w:val="22"/>
                <w:szCs w:val="22"/>
                <w:lang w:val="en-US"/>
              </w:rPr>
              <w:t xml:space="preserve"> № E231-9142 </w:t>
            </w:r>
            <w:r w:rsidRPr="00AA564E">
              <w:rPr>
                <w:sz w:val="22"/>
                <w:szCs w:val="22"/>
              </w:rPr>
              <w:t>від</w:t>
            </w:r>
            <w:r w:rsidRPr="00AA564E">
              <w:rPr>
                <w:sz w:val="22"/>
                <w:szCs w:val="22"/>
                <w:lang w:val="en-US"/>
              </w:rPr>
              <w:t xml:space="preserve"> 10.04.2013); – Microsoft Certified Professional (</w:t>
            </w:r>
            <w:r w:rsidRPr="00AA564E">
              <w:rPr>
                <w:sz w:val="22"/>
                <w:szCs w:val="22"/>
              </w:rPr>
              <w:t>сертифікат</w:t>
            </w:r>
            <w:r w:rsidRPr="00AA564E">
              <w:rPr>
                <w:sz w:val="22"/>
                <w:szCs w:val="22"/>
                <w:lang w:val="en-US"/>
              </w:rPr>
              <w:t xml:space="preserve"> № E315-6668 </w:t>
            </w:r>
            <w:r w:rsidRPr="00AA564E">
              <w:rPr>
                <w:sz w:val="22"/>
                <w:szCs w:val="22"/>
              </w:rPr>
              <w:t>від</w:t>
            </w:r>
            <w:r w:rsidRPr="00AA564E">
              <w:rPr>
                <w:sz w:val="22"/>
                <w:szCs w:val="22"/>
                <w:lang w:val="en-US"/>
              </w:rPr>
              <w:t xml:space="preserve"> 19.06.2013); – Microsoft Specialist (</w:t>
            </w:r>
            <w:r w:rsidRPr="00AA564E">
              <w:rPr>
                <w:sz w:val="22"/>
                <w:szCs w:val="22"/>
              </w:rPr>
              <w:t>сертифікат</w:t>
            </w:r>
            <w:r w:rsidRPr="00AA564E">
              <w:rPr>
                <w:sz w:val="22"/>
                <w:szCs w:val="22"/>
                <w:lang w:val="en-US"/>
              </w:rPr>
              <w:t xml:space="preserve"> № E416-8854 </w:t>
            </w:r>
            <w:r w:rsidRPr="00AA564E">
              <w:rPr>
                <w:sz w:val="22"/>
                <w:szCs w:val="22"/>
              </w:rPr>
              <w:t>від</w:t>
            </w:r>
            <w:r w:rsidRPr="00AA564E">
              <w:rPr>
                <w:sz w:val="22"/>
                <w:szCs w:val="22"/>
                <w:lang w:val="en-US"/>
              </w:rPr>
              <w:t xml:space="preserve"> 25.10.2013); – Microsoft Certified Solutions Developer (</w:t>
            </w:r>
            <w:r w:rsidRPr="00AA564E">
              <w:rPr>
                <w:sz w:val="22"/>
                <w:szCs w:val="22"/>
              </w:rPr>
              <w:t>сертифікат</w:t>
            </w:r>
            <w:r w:rsidRPr="00AA564E">
              <w:rPr>
                <w:sz w:val="22"/>
                <w:szCs w:val="22"/>
                <w:lang w:val="en-US"/>
              </w:rPr>
              <w:t xml:space="preserve"> № E416-8853 </w:t>
            </w:r>
            <w:r w:rsidRPr="00AA564E">
              <w:rPr>
                <w:sz w:val="22"/>
                <w:szCs w:val="22"/>
              </w:rPr>
              <w:t>від</w:t>
            </w:r>
            <w:r w:rsidRPr="00AA564E">
              <w:rPr>
                <w:sz w:val="22"/>
                <w:szCs w:val="22"/>
                <w:lang w:val="en-US"/>
              </w:rPr>
              <w:t xml:space="preserve"> 25.10.2013).</w:t>
            </w:r>
          </w:p>
        </w:tc>
      </w:tr>
      <w:tr w:rsidR="00DC7B0A" w:rsidRPr="00AA564E" w:rsidTr="0056460C">
        <w:trPr>
          <w:cantSplit/>
        </w:trPr>
        <w:tc>
          <w:tcPr>
            <w:tcW w:w="1843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lastRenderedPageBreak/>
              <w:t>Карнаух Тетяна Олександрівна</w:t>
            </w:r>
          </w:p>
        </w:tc>
        <w:tc>
          <w:tcPr>
            <w:tcW w:w="1418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доцент кафедри теоретичної кібернетики</w:t>
            </w:r>
          </w:p>
        </w:tc>
        <w:tc>
          <w:tcPr>
            <w:tcW w:w="1701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Київський університет імені Тараса Шевченка, 1997, спеціальність – прикладна математика, кваліфікація  – математик, викладач математики та інформатики (диплом з відзнакою АКІ № 97004301)</w:t>
            </w:r>
          </w:p>
        </w:tc>
        <w:tc>
          <w:tcPr>
            <w:tcW w:w="2835" w:type="dxa"/>
            <w:gridSpan w:val="2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кандидат фізико-математичних наук, кандидатська дисертація “Класи функцій та чисел, що визначаються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трансформаційними та генеруючими моделями обчислень” за спеціальністю математична логіка, теорія алгоритмів і дискретна математика (ДК № 034851 від 08.06.2006 р.), вчене звання: доцент кафедри теоретичної кібернетики (12ДЦ № 022695 від 21.05.2009 р.).</w:t>
            </w:r>
          </w:p>
        </w:tc>
        <w:tc>
          <w:tcPr>
            <w:tcW w:w="992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20 років</w:t>
            </w:r>
          </w:p>
        </w:tc>
        <w:tc>
          <w:tcPr>
            <w:tcW w:w="3907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Автор 50 публікації, у т.ч.8 навчальних посібників (з яких 2 навчальні посібники з грифом МОН України), серед них серія посібників "Вступ до програмування мовою С++" (у співавторстві), посібник з грифом МОН "Комбінаторика". Проводить наукові дослідження в галузі теорії алгоритмів; вибрані наукові статті: "Обчислюваність трансцендентних чисел генераторами з гніздовою стековою пам'яттю",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"Дійсні числа та функції, обчислювані з поверненнями".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Бере участь у міжнародних конференціях, керівник дипломних та курсових робіт студентів.</w:t>
            </w:r>
          </w:p>
        </w:tc>
        <w:tc>
          <w:tcPr>
            <w:tcW w:w="2897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Teacher's Internship program held by EPAM Systems (Асоціація «Інформаційні технології України», січень 2019, сертифікат №0120)</w:t>
            </w: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</w:tr>
      <w:tr w:rsidR="00DC7B0A" w:rsidRPr="00AA564E" w:rsidTr="0056460C">
        <w:trPr>
          <w:cantSplit/>
        </w:trPr>
        <w:tc>
          <w:tcPr>
            <w:tcW w:w="1843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Завадський Ігор Олександрович</w:t>
            </w:r>
          </w:p>
        </w:tc>
        <w:tc>
          <w:tcPr>
            <w:tcW w:w="1418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Доцент кафедри математичної інформатики </w:t>
            </w: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Київський національний університет імені Тараса Шевченка, 1996,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спеціальність – прикладна математика,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кваліфікація – спеціаліст математики (ВЕ №002766 від 25.06.1996р.)</w:t>
            </w:r>
          </w:p>
        </w:tc>
        <w:tc>
          <w:tcPr>
            <w:tcW w:w="2835" w:type="dxa"/>
            <w:gridSpan w:val="2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Доктор фіз.-мат. наук,  113 – прикладна математика (01.05.01 «теоретичні основи інформатики та кібернетики»), доцент кафедри математичної інформатики (12ДЦ № 021007 від 23.12.2008р.),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тема докт. дис. «Подільні коди та їх застосування», диплом доктора фіз.-мат. наук ДД № 010098 від 24.09.2020)</w:t>
            </w:r>
          </w:p>
        </w:tc>
        <w:tc>
          <w:tcPr>
            <w:tcW w:w="992" w:type="dxa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23 роки</w:t>
            </w:r>
          </w:p>
        </w:tc>
        <w:tc>
          <w:tcPr>
            <w:tcW w:w="3827" w:type="dxa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Автор більше 100 публікацій, у т.ч. 20 посібників та підручників з грифом «Рекомендовано МОН України» або «Схвалено МОН України».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Вибрані публікації: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en-US"/>
              </w:rPr>
            </w:pPr>
            <w:r w:rsidRPr="00AA564E">
              <w:rPr>
                <w:sz w:val="22"/>
                <w:szCs w:val="22"/>
              </w:rPr>
              <w:t xml:space="preserve">1. A.V. Anisimov, I.O. Zavadskyi. </w:t>
            </w:r>
            <w:hyperlink r:id="rId10">
              <w:r w:rsidRPr="00AA564E">
                <w:rPr>
                  <w:sz w:val="22"/>
                  <w:szCs w:val="22"/>
                  <w:lang w:val="en-US"/>
                </w:rPr>
                <w:t>Variable-Length Prefix Codes With Multiple Delimiters</w:t>
              </w:r>
            </w:hyperlink>
            <w:r w:rsidRPr="00AA564E">
              <w:rPr>
                <w:sz w:val="22"/>
                <w:szCs w:val="22"/>
                <w:lang w:val="en-US"/>
              </w:rPr>
              <w:t xml:space="preserve"> // IEEE Transactions on Information Theory, vol. 63, issue 5, p. 2885-2895. –2017.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2. И.А. Завадский. Помехоустойчивые коды переменной длины на основе конечных автоматов // Кибернетика и системный анализ. — 2015. — № 2. — С. 43–51.</w:t>
            </w:r>
          </w:p>
        </w:tc>
        <w:tc>
          <w:tcPr>
            <w:tcW w:w="2977" w:type="dxa"/>
            <w:gridSpan w:val="3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НАУКМА факультет інформатики, 2010.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Дистанційні курсів підвищення кваліфікації для вчителів інформатики «Основи програмування мовою Python», «Бази даних» https://itknyga.com.ua</w:t>
            </w:r>
          </w:p>
        </w:tc>
      </w:tr>
    </w:tbl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AA564E">
        <w:t>При розробці Освітньої Програми враховані вимоги затвердженого Наказом Міністерства освіти і науки України 28.04.2022 за № 393 стандарту вищої освіти зі спеціальності 122 «Комп’ютерні науки» галузі знань 12 «Інформаційні технології» для другого (магістерського) рівня вищої освіти.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  <w:sectPr w:rsidR="00DC7B0A" w:rsidRPr="00AA564E">
          <w:footerReference w:type="default" r:id="rId11"/>
          <w:pgSz w:w="16838" w:h="11906" w:orient="landscape"/>
          <w:pgMar w:top="567" w:right="1134" w:bottom="1418" w:left="1134" w:header="708" w:footer="709" w:gutter="0"/>
          <w:cols w:space="720"/>
        </w:sectPr>
      </w:pPr>
      <w:r w:rsidRPr="00AA564E">
        <w:rPr>
          <w:sz w:val="20"/>
          <w:szCs w:val="20"/>
        </w:rPr>
        <w:t xml:space="preserve"> 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center"/>
        <w:rPr>
          <w:sz w:val="28"/>
          <w:szCs w:val="28"/>
        </w:rPr>
      </w:pPr>
      <w:r w:rsidRPr="00AA564E">
        <w:rPr>
          <w:b/>
          <w:sz w:val="28"/>
          <w:szCs w:val="28"/>
        </w:rPr>
        <w:lastRenderedPageBreak/>
        <w:t>1. ПРОФІЛЬ ОСВІТНЬОЇ ПРОГРАМИ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AA564E">
        <w:rPr>
          <w:b/>
          <w:sz w:val="28"/>
          <w:szCs w:val="28"/>
        </w:rPr>
        <w:t>«Інформатика»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AA564E">
        <w:rPr>
          <w:b/>
          <w:sz w:val="28"/>
          <w:szCs w:val="28"/>
        </w:rPr>
        <w:t>зі спеціальності №122 «Комп’ютерні науки»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fc"/>
        <w:tblW w:w="93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371"/>
        <w:gridCol w:w="5017"/>
      </w:tblGrid>
      <w:tr w:rsidR="00DC7B0A" w:rsidRPr="00AA564E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AA564E">
              <w:rPr>
                <w:b/>
              </w:rPr>
              <w:t>1 – Загальна інформація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 xml:space="preserve">Ступінь вищої освіти та назва кваліфікації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ступінь вищої освіти – магістр</w:t>
            </w:r>
          </w:p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спеціальність: 122 Комп’ютерні науки</w:t>
            </w:r>
          </w:p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програма: Інформатика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 xml:space="preserve">вибіркові блоки: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«Інтелектуальні інформаційні технології»,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«Інформаційні технології та системи»,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«Теорія та технологія програмування»</w:t>
            </w: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AA564E">
              <w:rPr>
                <w:color w:val="212121"/>
                <w:lang w:val="en-US"/>
              </w:rPr>
              <w:t>Degree in Higher Education – Master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AA564E">
              <w:rPr>
                <w:color w:val="212121"/>
                <w:lang w:val="en-US"/>
              </w:rPr>
              <w:t xml:space="preserve">specialty: 122 Computer Science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AA564E">
              <w:rPr>
                <w:color w:val="212121"/>
                <w:lang w:val="en-US"/>
              </w:rPr>
              <w:t>Program: Informatics</w:t>
            </w:r>
          </w:p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AA564E">
              <w:rPr>
                <w:lang w:val="en-US"/>
              </w:rPr>
              <w:t>Selective Units</w:t>
            </w:r>
            <w:r w:rsidRPr="00AA564E">
              <w:rPr>
                <w:color w:val="212121"/>
                <w:lang w:val="en-US"/>
              </w:rPr>
              <w:t>: "Intellectual Information Technologies", “Information Technologies and Systems”, “Theory and technology of programming”.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Мова(и) навчання і оцінювання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left"/>
              <w:rPr>
                <w:color w:val="212121"/>
              </w:rPr>
            </w:pPr>
            <w:r w:rsidRPr="00AA564E">
              <w:t xml:space="preserve">Українська, англійська / </w:t>
            </w:r>
            <w:r w:rsidRPr="00AA564E">
              <w:rPr>
                <w:color w:val="212121"/>
              </w:rPr>
              <w:t>Ukrainian, English</w:t>
            </w:r>
          </w:p>
        </w:tc>
      </w:tr>
      <w:tr w:rsidR="00DC7B0A" w:rsidRPr="00AA564E">
        <w:trPr>
          <w:trHeight w:val="359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Обсяг освітньої програми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AA564E">
              <w:rPr>
                <w:lang w:val="en-US"/>
              </w:rPr>
              <w:t xml:space="preserve">2 </w:t>
            </w:r>
            <w:r w:rsidRPr="00AA564E">
              <w:t>академічних</w:t>
            </w:r>
            <w:r w:rsidRPr="00AA564E">
              <w:rPr>
                <w:lang w:val="en-US"/>
              </w:rPr>
              <w:t xml:space="preserve"> </w:t>
            </w:r>
            <w:r w:rsidRPr="00AA564E">
              <w:t>роки</w:t>
            </w:r>
            <w:r w:rsidRPr="00AA564E">
              <w:rPr>
                <w:lang w:val="en-US"/>
              </w:rPr>
              <w:t xml:space="preserve">, 120 </w:t>
            </w:r>
            <w:r w:rsidRPr="00AA564E">
              <w:t>кредитів</w:t>
            </w:r>
            <w:r w:rsidRPr="00AA564E">
              <w:rPr>
                <w:lang w:val="en-US"/>
              </w:rPr>
              <w:t xml:space="preserve"> </w:t>
            </w:r>
            <w:r w:rsidRPr="00AA564E">
              <w:t>ЄКТС</w:t>
            </w:r>
            <w:r w:rsidRPr="00AA564E">
              <w:rPr>
                <w:lang w:val="en-US"/>
              </w:rPr>
              <w:t xml:space="preserve"> / </w:t>
            </w:r>
            <w:r w:rsidRPr="00AA564E">
              <w:rPr>
                <w:color w:val="212121"/>
                <w:lang w:val="en-US"/>
              </w:rPr>
              <w:t>2 academic years, 120 ECTS credits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Тип програми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Освітньо-наукова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Educational scientific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Повна назва закладу вищої освіти, а також структурного підрозділу у якому здійснюється навчання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AA564E">
              <w:t xml:space="preserve">Київський національний університет імені Тараса Шевченка, факультет комп’ютерних наук та кібернетики / </w:t>
            </w:r>
            <w:r w:rsidRPr="00AA564E">
              <w:rPr>
                <w:color w:val="212121"/>
              </w:rPr>
              <w:t>Kyiv National Taras Shevchenko University, Faculty of Computer Science and Cybernetics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 xml:space="preserve">Назва закладу вищої освіти який бере участь у забезпеченні програми </w:t>
            </w:r>
            <w:r w:rsidRPr="00AA564E">
              <w:rPr>
                <w:sz w:val="20"/>
                <w:szCs w:val="20"/>
              </w:rPr>
              <w:t>(заповнюється для програм подвійного і спільного дипломування)</w:t>
            </w:r>
            <w:r w:rsidRPr="00AA564E">
              <w:rPr>
                <w:b/>
                <w:i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0"/>
                <w:szCs w:val="20"/>
              </w:rPr>
            </w:pPr>
            <w:r w:rsidRPr="00AA564E">
              <w:rPr>
                <w:b/>
                <w:sz w:val="20"/>
                <w:szCs w:val="20"/>
              </w:rPr>
              <w:t>-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Офіційна назва освітньої програми,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  <w:rPr>
                <w:sz w:val="20"/>
                <w:szCs w:val="20"/>
              </w:rPr>
            </w:pPr>
            <w:r w:rsidRPr="00AA564E">
              <w:rPr>
                <w:b/>
              </w:rPr>
              <w:t xml:space="preserve">ступінь вищої освіти та назва кваліфікації ЗВО -партнера мовою оригіналу </w:t>
            </w:r>
            <w:r w:rsidRPr="00AA564E">
              <w:rPr>
                <w:sz w:val="20"/>
                <w:szCs w:val="20"/>
              </w:rPr>
              <w:t>(заповнюється для програм подвійного і спільного дипломування)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-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Наявність акредитації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 xml:space="preserve">Спеціальність акредитовано МОН України, сертифікат про акредитацію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УД, №11005755, терм</w:t>
            </w:r>
            <w:r w:rsidR="0056460C" w:rsidRPr="00AA564E">
              <w:t>ін дії сертифіката до 01.07.2023</w:t>
            </w:r>
            <w:r w:rsidRPr="00AA564E">
              <w:t xml:space="preserve"> р.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Цикл/рівень програми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 xml:space="preserve">НРК України – 7 рівень,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 xml:space="preserve">FQ-EHEA – другий цикл,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ЕQF-LLL – 7 рівень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Передумови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Наявність ступеня бакалавра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Форма навчання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Денна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Термін дії освітньої програми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5 років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http://csc.knu.ua/uk/curriculum</w:t>
            </w:r>
          </w:p>
        </w:tc>
      </w:tr>
      <w:tr w:rsidR="00DC7B0A" w:rsidRPr="00AA564E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AA564E">
              <w:rPr>
                <w:b/>
              </w:rPr>
              <w:lastRenderedPageBreak/>
              <w:t>2 – Мета освітньої програми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Мета програми (з врахуванням рівня кваліфікації)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>Підготовка фахівців, здатних застосувати математичні основи, алгоритмічні принципи в моделюванні, проектуванні, розробці та супроводі інформаційних систем і технологій; здійснювати розробку, впровадження і супровід інтелектуальних систем аналізу та обробки даних в організаційних, технічних, природничих та соціально-економічних системах.</w:t>
            </w:r>
          </w:p>
        </w:tc>
      </w:tr>
      <w:tr w:rsidR="00DC7B0A" w:rsidRPr="00AA564E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AA564E">
              <w:rPr>
                <w:b/>
              </w:rPr>
              <w:t>3 - Характеристика освітньої програми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Предметна область (галузь знань / спеціальність / спеціалізація програми)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t>Інформаційні технології / Комп’ютерні науки</w:t>
            </w: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 xml:space="preserve">Орієнтація освітньої програми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>Освітньо-наукова, прикладна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Основний фокус освітньої програми та спеціалізації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</w:pPr>
            <w:r w:rsidRPr="00AA564E">
              <w:t xml:space="preserve">Спеціальна освіта за спеціальністю 122 «Комп’ютерні науки».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 xml:space="preserve">Об’єкти вивчення та/або діяльності: процеси збору, представлення, обробки, зберігання, передачі та доступу до інформації в комп’ютерних системах.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 xml:space="preserve">Цілі навчання: набуття здатності розв’язувати задачі дослідницького та/або інноваційного характеру у сфері комп’ютерних наук.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 xml:space="preserve">Теоретичний зміст предметної області: сучасні моделі, методи, алгоритми, технології, процеси та способи отримання, представлення, обробки, аналізу, передачі, зберігання даних в інформаційних та комп’ютерних системах. </w:t>
            </w:r>
          </w:p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</w:pPr>
            <w:r w:rsidRPr="00AA564E">
              <w:t>Ключові слова: науки про обчислення, обробка даних, алгоритми, технології розробки програмного забезпечення.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Особливості програми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A564E">
              <w:rPr>
                <w:sz w:val="20"/>
                <w:szCs w:val="20"/>
              </w:rPr>
              <w:t>-</w:t>
            </w:r>
          </w:p>
        </w:tc>
      </w:tr>
      <w:tr w:rsidR="00DC7B0A" w:rsidRPr="00AA564E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AA564E">
              <w:rPr>
                <w:b/>
              </w:rPr>
              <w:t xml:space="preserve">4 – Придатність випускників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AA564E">
              <w:rPr>
                <w:b/>
              </w:rPr>
              <w:t>до працевлаштування та подальшого навчання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Придатність до працевлаштування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>Професійна діяльність як професіонала з розробки математичного, інформаційного та програмного забезпечення інформаційних систем, у галузі інформаційних технологій, а також адміністратора баз даних і систем.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Подальше навчання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>Допускається до продовження навчання на третьому рівні вищої освіти. Набуття додаткових кваліфікацій в системі післядипломної освіти.</w:t>
            </w:r>
          </w:p>
        </w:tc>
      </w:tr>
      <w:tr w:rsidR="00DC7B0A" w:rsidRPr="00AA564E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AA564E">
              <w:rPr>
                <w:b/>
              </w:rPr>
              <w:t>5 – Викладання та оцінювання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Викладання та навчання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 xml:space="preserve">Студентоцентроване навчання. Лекції, практичні заняття, лабораторні роботи, семінарські заняття, самостійна робота на основі навчально-методичних матеріалів, консультації з викладачами, кваліфікаційна </w:t>
            </w:r>
            <w:r w:rsidRPr="00AA564E">
              <w:lastRenderedPageBreak/>
              <w:t>робота магістра.</w:t>
            </w:r>
          </w:p>
        </w:tc>
      </w:tr>
      <w:tr w:rsidR="00DC7B0A" w:rsidRPr="00AA564E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lastRenderedPageBreak/>
              <w:t>Оцінювання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>Письмові та усні іспити, диференційовані заліки, звіти до лабораторних робіт, усні презентації, поточний контроль, залік, комплексний іспит, захист кваліфікаційної роботи магістра.</w:t>
            </w:r>
          </w:p>
        </w:tc>
      </w:tr>
    </w:tbl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tbl>
      <w:tblPr>
        <w:tblStyle w:val="affd"/>
        <w:tblW w:w="1008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1935"/>
        <w:gridCol w:w="2523"/>
        <w:gridCol w:w="5622"/>
      </w:tblGrid>
      <w:tr w:rsidR="00DC7B0A" w:rsidRPr="00AA564E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AA564E">
              <w:rPr>
                <w:b/>
              </w:rPr>
              <w:t>6 – Програмні компетентності</w:t>
            </w:r>
          </w:p>
        </w:tc>
      </w:tr>
      <w:tr w:rsidR="00DC7B0A" w:rsidRPr="00AA564E" w:rsidTr="00AA564E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Інтегральна компетентність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>Здатність розв’язувати задачі дослідницького та/або інноваційного характеру у сфері комп’ютерних наук.</w:t>
            </w:r>
          </w:p>
        </w:tc>
      </w:tr>
      <w:tr w:rsidR="00DC7B0A" w:rsidRPr="00AA564E" w:rsidTr="00AA564E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Загальні компетентності (ЗК)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ЗК01.</w:t>
            </w:r>
            <w:r w:rsidRPr="00AA564E">
              <w:t xml:space="preserve"> Здатність до абстрактного мислення, аналізу та синтезу.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ЗК02.</w:t>
            </w:r>
            <w:r w:rsidRPr="00AA564E">
              <w:t xml:space="preserve"> Здатність застосовувати знання у практичних ситуаціях.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ЗК03.</w:t>
            </w:r>
            <w:r w:rsidRPr="00AA564E">
              <w:t xml:space="preserve"> Здатність спілкуватися державною мовою як усно, так і письмово.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ЗК04.</w:t>
            </w:r>
            <w:r w:rsidRPr="00AA564E">
              <w:t xml:space="preserve"> Здатність спілкуватися іноземною мовою.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ЗК05.</w:t>
            </w:r>
            <w:r w:rsidRPr="00AA564E">
              <w:t xml:space="preserve"> Здатність вчитися й оволодівати сучасними знаннями.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ЗК06.</w:t>
            </w:r>
            <w:r w:rsidRPr="00AA564E">
              <w:t xml:space="preserve"> Здатність бути критичним і самокритичним.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ЗК07.</w:t>
            </w:r>
            <w:r w:rsidRPr="00AA564E">
              <w:t xml:space="preserve"> Здатність генерувати нові ідеї (креативність).</w:t>
            </w:r>
          </w:p>
        </w:tc>
      </w:tr>
      <w:tr w:rsidR="00DC7B0A" w:rsidRPr="00AA564E" w:rsidTr="00AA564E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Фахові компетентності спеціальності (СК)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СК01.</w:t>
            </w:r>
            <w:r w:rsidRPr="00AA564E">
              <w:t xml:space="preserve"> Усвідомлення теоретичних засад комп’ютерних наук.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СК02.</w:t>
            </w:r>
            <w:r w:rsidRPr="00AA564E">
              <w:t xml:space="preserve"> Здатність формалізувати предметну область певного проєкту у вигляді відповідної інформаційної моделі.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СК03.</w:t>
            </w:r>
            <w:r w:rsidRPr="00AA564E">
              <w:t xml:space="preserve"> Здатність використовувати математичні методи для аналізу формалізованих моделей предметної області.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СК04.</w:t>
            </w:r>
            <w:r w:rsidRPr="00AA564E">
              <w:t xml:space="preserve"> Здатність збирати і аналізувати дані (включно з великими), для забезпечення якості прийняття проєктних рішень.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СК05.</w:t>
            </w:r>
            <w:r w:rsidRPr="00AA564E">
              <w:t xml:space="preserve"> Здатність розробляти, описувати, аналізувати та оптимізувати архітектурні рішення інформаційних та комп’ютерних систем різного призначення.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СК06.</w:t>
            </w:r>
            <w:r w:rsidRPr="00AA564E">
              <w:t xml:space="preserve"> Здатність застосовувати існуючі і розробляти нові алгоритми розв’язування задач у галузі комп’ютерних наук.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СК07.</w:t>
            </w:r>
            <w:r w:rsidRPr="00AA564E">
              <w:t xml:space="preserve"> Здатність розробляти програмне забезпечення відповідно до сформульованих вимог з урахуванням наявних ресурсів та обмежень.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СК08.</w:t>
            </w:r>
            <w:r w:rsidRPr="00AA564E">
              <w:t xml:space="preserve"> Здатність розробляти і реалізовувати проекти зі створення програмного забезпечення, у тому числі в непередбачуваних умовах, за нечітких вимог та необхідності застосовувати нові стратегічні підходи, використовувати програмні інструменти для організації командної роботи над проєктом.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СК09.</w:t>
            </w:r>
            <w:r w:rsidRPr="00AA564E">
              <w:t xml:space="preserve"> Здатність розробляти та адмініструвати бази даних та знань.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СК10.</w:t>
            </w:r>
            <w:r w:rsidRPr="00AA564E">
              <w:t xml:space="preserve"> Здатність оцінювати та забезпечувати якість ІТ-проєктів, інформаційних та комп’ютерних систем різного призначення, застосовувати міжнародні стандарти оцінки якості програмного забезпечення інформаційних та комп’ютерних систем, моделі оцінки зрілості процесів розробки інформаційних та комп’ютерних систем.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СК11.</w:t>
            </w:r>
            <w:r w:rsidRPr="00AA564E">
              <w:t xml:space="preserve"> Здатність ініціювати, планувати та реалізовувати процеси розробки інформаційних та комп’ютерних систем та програмного забезпечення, включно з його розробкою, аналізом, тестуванням, системною інтеграцією, впровадженням і супроводом.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Додаткові спеціальні компетентності до освітньо-наукової програми підготовки магістрів: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rPr>
                <w:b/>
              </w:rPr>
              <w:t>ДСК1.</w:t>
            </w:r>
            <w:r w:rsidRPr="00AA564E">
              <w:t xml:space="preserve"> Здатність планувати і виконувати наукові дослідження у сфері комп’ютерних наук.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bookmarkStart w:id="1" w:name="_heading=h.gjdgxs" w:colFirst="0" w:colLast="0"/>
            <w:bookmarkEnd w:id="1"/>
            <w:r w:rsidRPr="00AA564E">
              <w:rPr>
                <w:b/>
              </w:rPr>
              <w:t>ДСК2.</w:t>
            </w:r>
            <w:r w:rsidRPr="00AA564E">
              <w:t xml:space="preserve"> Здатність провадити науково-педагогічну діяльність у закладах вищої освіти.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AA564E">
              <w:rPr>
                <w:b/>
              </w:rPr>
              <w:lastRenderedPageBreak/>
              <w:t xml:space="preserve">Компетентності, визначені вибірковим блоком «Інтелектуальні інформаційні технології»: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AA564E">
              <w:rPr>
                <w:b/>
              </w:rPr>
              <w:t>СК12.1.</w:t>
            </w:r>
            <w:r w:rsidRPr="00AA564E">
              <w:t xml:space="preserve"> Здатність обґрунтовано обирати та застосовувати інструментарій з розробки та супроводження програмного забезпечення.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AA564E">
              <w:rPr>
                <w:b/>
              </w:rPr>
              <w:t>СК13.1.</w:t>
            </w:r>
            <w:r w:rsidRPr="00AA564E">
              <w:t xml:space="preserve"> Здатність аналізувати та використовувати інтелектуальні інформаційні технології.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AA564E">
              <w:rPr>
                <w:b/>
              </w:rPr>
              <w:t xml:space="preserve"> СК14.1.</w:t>
            </w:r>
            <w:r w:rsidRPr="00AA564E">
              <w:t xml:space="preserve"> Здатність планувати і проводити системні дослідження, виконувати математичне та інформаційне моделювання динамічних процесів.</w:t>
            </w:r>
            <w:r w:rsidRPr="00AA564E">
              <w:br/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Компетентності, визначені вибірковим блоком «Теорія та технологія програмування»: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СК12.2.</w:t>
            </w:r>
            <w:r w:rsidRPr="00AA564E">
              <w:t xml:space="preserve"> Здатність систематизувати професійні знання щодо створення і супроводження програмного забезпечення.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 xml:space="preserve">СК13.2. </w:t>
            </w:r>
            <w:r w:rsidRPr="00AA564E">
              <w:t>Здатність розробляти і координувати процеси, фази та ітерації життєвого циклу програмних систем на основі застосування відповідних моделей, методів та технологій розробки програмного забезпечення.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СК14.2.</w:t>
            </w:r>
            <w:r w:rsidRPr="00AA564E">
              <w:t xml:space="preserve"> Здатність до алгоритмічного та логічного мислення.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Компетентності, визначені вибірковим блоком «Інформаційні технології та системи»: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СК12.3.</w:t>
            </w:r>
            <w:r w:rsidRPr="00AA564E">
              <w:t xml:space="preserve"> Здатність до проектування та реалізації систем штучного інтелекту на сучасних обчислювальних системах.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СК13.3.</w:t>
            </w:r>
            <w:r w:rsidRPr="00AA564E">
              <w:t xml:space="preserve"> Здатність застосовувати математичний апарат до розв’язання практичних задач кодування даних, криптографії та інших галузей.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AA564E">
              <w:rPr>
                <w:b/>
              </w:rPr>
              <w:t>СК14.3.</w:t>
            </w:r>
            <w:r w:rsidRPr="00AA564E">
              <w:t xml:space="preserve"> Здатність до автоматизації аналізу та синтезу комунікаційної інформації з використанням сучасних обчислювальних систем.</w:t>
            </w:r>
          </w:p>
        </w:tc>
      </w:tr>
      <w:tr w:rsidR="00DC7B0A" w:rsidRPr="00AA564E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AA564E">
              <w:rPr>
                <w:b/>
              </w:rPr>
              <w:lastRenderedPageBreak/>
              <w:t>7 – Програмні результати навчання</w:t>
            </w:r>
          </w:p>
        </w:tc>
      </w:tr>
      <w:tr w:rsidR="00DC7B0A" w:rsidRPr="00AA564E" w:rsidTr="00AA564E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AA564E">
              <w:rPr>
                <w:b/>
              </w:rPr>
              <w:t>Програмні результати навчання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РН1.</w:t>
            </w:r>
            <w:r w:rsidRPr="00AA564E">
              <w:t xml:space="preserve"> Мати спеціалізовані концептуальні знання, що включають сучасні наукові здобутки у сфері комп’ютерних наук і є основою для оригінального мислення та проведення досліджень, критичне осмислення проблем у сфері комп’ютерних наук та на межі галузей знань.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РН2.</w:t>
            </w:r>
            <w:r w:rsidRPr="00AA564E">
              <w:t xml:space="preserve"> Мати спеціалізовані уміння/навички розв’язання проблем комп’ютерних наук, необхідні для проведення досліджень та/або провадження інноваційної діяльності з метою розвитку нових знань та процедур.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РН3.</w:t>
            </w:r>
            <w:r w:rsidRPr="00AA564E">
              <w:t xml:space="preserve"> Зрозуміло і недвозначно доносити власні знання, висновки та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t>аргументацію у сфері комп’ютерних наук до фахівців і нефахівців, зокрема до осіб, які навчаються.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РН4.</w:t>
            </w:r>
            <w:r w:rsidRPr="00AA564E">
              <w:t xml:space="preserve">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РН5.</w:t>
            </w:r>
            <w:r w:rsidRPr="00AA564E">
              <w:t xml:space="preserve"> Оцінювати результати діяльності команд та колективів у сфері інформаційних технологій, забезпечувати ефективність їх діяльності.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РН6.</w:t>
            </w:r>
            <w:r w:rsidRPr="00AA564E">
              <w:t xml:space="preserve"> Розробляти концептуальну модель інформаційної або комп’ютерної системи.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РН7.</w:t>
            </w:r>
            <w:r w:rsidRPr="00AA564E">
              <w:t xml:space="preserve"> Розробляти та застосовувати математичні методи для аналізу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t>інформаційних моделей.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РН8.</w:t>
            </w:r>
            <w:r w:rsidRPr="00AA564E">
              <w:t xml:space="preserve"> Розробляти математичні моделі та методи аналізу даних (включно з великим).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lastRenderedPageBreak/>
              <w:t>РН9.</w:t>
            </w:r>
            <w:r w:rsidRPr="00AA564E">
              <w:t xml:space="preserve"> Розробляти алгоритмічне та програмне забезпечення для аналізу даних (включно з великими).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РН10.</w:t>
            </w:r>
            <w:r w:rsidRPr="00AA564E">
              <w:t xml:space="preserve"> Проектувати архітектурні рішення інформаційних та комп’ютерних систем різного призначення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РН11.</w:t>
            </w:r>
            <w:r w:rsidRPr="00AA564E">
              <w:t xml:space="preserve"> Створювати нові алгоритми розв’язування задач у сфері комп’ютерних наук, оцінювати їх ефективність та обмеження на їх застосування.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РН12.</w:t>
            </w:r>
            <w:r w:rsidRPr="00AA564E">
              <w:t xml:space="preserve"> Проектувати та супроводжувати бази даних та знань.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РН13.</w:t>
            </w:r>
            <w:r w:rsidRPr="00AA564E">
              <w:t xml:space="preserve"> Оцінювати та забезпечувати якість інформаційних та комп’ютерних систем різного призначення.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РН14.</w:t>
            </w:r>
            <w:r w:rsidRPr="00AA564E">
              <w:t xml:space="preserve"> Тестувати програмне забезпечення.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РН15.</w:t>
            </w:r>
            <w:r w:rsidRPr="00AA564E">
              <w:t xml:space="preserve"> Виявляти потреби потенційних замовників щодо автоматизації обробки інформації.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РН16.</w:t>
            </w:r>
            <w:r w:rsidRPr="00AA564E">
              <w:t xml:space="preserve"> Виконувати дослідження у сфері комп’ютерних наук.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РН17.</w:t>
            </w:r>
            <w:r w:rsidRPr="00AA564E">
              <w:t xml:space="preserve"> Виявляти та усувати проблемні ситуації в процесі експлуатації програмного забезпечення, формулювати завдання для його модифікації або реінжинірингу.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РН18.</w:t>
            </w:r>
            <w:r w:rsidRPr="00AA564E">
              <w:t xml:space="preserve"> Збирати, формалізувати, систематизувати і аналізувати потреби та вимоги до інформаційної або комп’ютерної системи, що розробляється, експлуатується чи супроводжується.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РН19.</w:t>
            </w:r>
            <w:r w:rsidRPr="00AA564E">
              <w:t xml:space="preserve"> Аналізувати сучасний стан і світові тенденції розвитку комп’ютерних наук та інформаційних технологій.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Додатково для освітньо-наукових програм: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rPr>
                <w:b/>
              </w:rPr>
              <w:t>РН20.</w:t>
            </w:r>
            <w:r w:rsidRPr="00AA564E">
              <w:t xml:space="preserve"> Створювати та досліджувати інформаційні та математичні моделі систем і процесів, що досліджуються, зокрема об’єктів автоматизації.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bookmarkStart w:id="2" w:name="_heading=h.30j0zll" w:colFirst="0" w:colLast="0"/>
            <w:bookmarkEnd w:id="2"/>
            <w:r w:rsidRPr="00AA564E">
              <w:rPr>
                <w:b/>
              </w:rPr>
              <w:t>РН21.</w:t>
            </w:r>
            <w:r w:rsidRPr="00AA564E">
              <w:t xml:space="preserve"> Розробляти та викладати спеціалізовані навчальні дисципліни з інформаційних технологій у закладах вищої освіти.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AA564E">
              <w:rPr>
                <w:b/>
              </w:rPr>
              <w:t xml:space="preserve">Програмні результати навчання, визначені вибірковим блоком «Інтелектуальні інформаційні технології»: </w:t>
            </w:r>
            <w:r w:rsidRPr="00AA564E">
              <w:rPr>
                <w:b/>
              </w:rPr>
              <w:br/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AA564E">
              <w:rPr>
                <w:b/>
              </w:rPr>
              <w:t>РН22.1.</w:t>
            </w:r>
            <w:r w:rsidRPr="00AA564E">
              <w:t xml:space="preserve"> Мотивовано обирати технології програмування для розв’язання завдань створення і супроводження програмного забезпечення.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"/>
              </w:tabs>
              <w:spacing w:after="120" w:line="240" w:lineRule="auto"/>
              <w:ind w:left="0" w:hanging="2"/>
            </w:pPr>
            <w:r w:rsidRPr="00AA564E">
              <w:rPr>
                <w:b/>
              </w:rPr>
              <w:t xml:space="preserve">РН23.1. </w:t>
            </w:r>
            <w:r w:rsidRPr="00AA564E">
              <w:t>Застосовувати сучасні програмно-апаратні та обчислювальні засоби, технології та програмні рішення для ефективного аналізу конкретних виробничих задач для розробки програмного забезпечення.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bookmarkStart w:id="3" w:name="_heading=h.1fob9te" w:colFirst="0" w:colLast="0"/>
            <w:bookmarkEnd w:id="3"/>
            <w:r w:rsidRPr="00AA564E">
              <w:rPr>
                <w:b/>
              </w:rPr>
              <w:t>РН24.1.</w:t>
            </w:r>
            <w:r w:rsidRPr="00AA564E">
              <w:t xml:space="preserve"> Знати, аналізувати і застосовувати методи інтелектуального аналізу даних та штучного інтелекту, що включають методи комп’ютерної лінгвістики та комп’ютерного зору.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AA564E">
              <w:rPr>
                <w:b/>
              </w:rPr>
              <w:t xml:space="preserve">РН25.1.  </w:t>
            </w:r>
            <w:r w:rsidRPr="00AA564E">
              <w:t>Знати та застосовувати методи машинного навчання для розв’язання прикладних задач та створення штучних нейронних мереж.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AA564E">
              <w:rPr>
                <w:b/>
              </w:rPr>
              <w:t xml:space="preserve">РН26.1. </w:t>
            </w:r>
            <w:r w:rsidRPr="00AA564E">
              <w:t>Знати та уміти застосовувати на практиці методи системного аналізу, методи математичного та інформаційного моделювання для побудови та дослідження моделей об’єктів і процесів інформатизації.</w:t>
            </w:r>
            <w:r w:rsidRPr="00AA564E">
              <w:rPr>
                <w:b/>
              </w:rPr>
              <w:br/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Програмні результати навчання, визначені вибірковим блоком «Теорія та технологія програмування»: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РН22.2.</w:t>
            </w:r>
            <w:r w:rsidRPr="00AA564E">
              <w:t xml:space="preserve"> Оцінювати і обирати методи і моделі розробки, впровадження, експлуатації програмних засобів та управління ними на всіх етапах життєвого циклу.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РН23.2.</w:t>
            </w:r>
            <w:r w:rsidRPr="00AA564E">
              <w:t xml:space="preserve"> Аналізувати, оцінювати і обирати методи, сучасні програмно-</w:t>
            </w:r>
            <w:r w:rsidRPr="00AA564E">
              <w:lastRenderedPageBreak/>
              <w:t>апаратні інструментальні та обчислювальні засоби, технології, алгоритмічні та програмні рішення для ефективного виконання конкретних виробничих задач з розробки програмного зпбезпечення.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РН24.2.</w:t>
            </w:r>
            <w:r w:rsidRPr="00AA564E">
              <w:t xml:space="preserve"> Вибирати вихідні дані для проектування, керуючись формальними методами опису вимог та моделювання.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РН25.2.</w:t>
            </w:r>
            <w:r w:rsidRPr="00AA564E">
              <w:t xml:space="preserve"> Мотивовано обирати технології програмування для розв’язання завдань створення і супроводження програмного забезпечення.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 xml:space="preserve">РН26.2. </w:t>
            </w:r>
            <w:r w:rsidRPr="00AA564E">
              <w:t>Застосовувати програмно-орієнтовані логічні формалізми.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Програмні результати навчання, визначені вибірковим блоком «Інформаційні технології та системи»: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РН22.3.</w:t>
            </w:r>
            <w:r w:rsidRPr="00AA564E">
              <w:t xml:space="preserve"> Проектувати та розробляти програмне забезпечення для систем штучного інтелекту.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РН23.3.</w:t>
            </w:r>
            <w:r w:rsidRPr="00AA564E">
              <w:t xml:space="preserve"> Застосовувати знання з програмології для вибору та створення ефективних алгоритмів розв’язання обчислювальних задач.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РН24.3.</w:t>
            </w:r>
            <w:r w:rsidRPr="00AA564E">
              <w:t xml:space="preserve"> Застосовувати математичний апарат комп’ютерних алгебр до розв’язання практичних задач кодування даних, криптографії та інших галузей.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</w:pPr>
            <w:r w:rsidRPr="00AA564E">
              <w:rPr>
                <w:b/>
              </w:rPr>
              <w:t>РН25.3.</w:t>
            </w:r>
            <w:r w:rsidRPr="00AA564E">
              <w:t xml:space="preserve"> Проектувати та розробляти програмне забезпечення для розв’язання задач автоматичного аналізу та синтезу комунікаційної інформації.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2"/>
              <w:jc w:val="left"/>
            </w:pPr>
            <w:r w:rsidRPr="00AA564E">
              <w:rPr>
                <w:b/>
              </w:rPr>
              <w:t>РН26.3.</w:t>
            </w:r>
            <w:r w:rsidRPr="00AA564E">
              <w:t xml:space="preserve"> Створювати програмне забезпечення для сучасних обчислювальних систем.</w:t>
            </w:r>
          </w:p>
        </w:tc>
      </w:tr>
      <w:tr w:rsidR="00DC7B0A" w:rsidRPr="00AA564E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jc w:val="center"/>
            </w:pPr>
            <w:r w:rsidRPr="00AA564E">
              <w:rPr>
                <w:b/>
              </w:rPr>
              <w:lastRenderedPageBreak/>
              <w:t>8 – Ресурсне забезпечення реалізації програми</w:t>
            </w:r>
          </w:p>
        </w:tc>
      </w:tr>
      <w:tr w:rsidR="00DC7B0A" w:rsidRPr="00AA564E"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Специфічні характеристики кадрового забезпечення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AA564E">
              <w:t>-</w:t>
            </w:r>
          </w:p>
        </w:tc>
      </w:tr>
      <w:tr w:rsidR="00DC7B0A" w:rsidRPr="00AA564E"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>-</w:t>
            </w:r>
          </w:p>
        </w:tc>
      </w:tr>
      <w:tr w:rsidR="00DC7B0A" w:rsidRPr="00AA564E"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 xml:space="preserve">Використання електронної бібліотеки факультету комп’ютерних наук та кібернетики 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>(</w:t>
            </w:r>
            <w:hyperlink r:id="rId12">
              <w:r w:rsidRPr="00AA564E">
                <w:rPr>
                  <w:color w:val="0000FF"/>
                  <w:u w:val="single"/>
                </w:rPr>
                <w:t>http://csc.knu.ua/uk/library</w:t>
              </w:r>
            </w:hyperlink>
            <w:r w:rsidRPr="00AA564E">
              <w:t>) та авторських розробок науково-педагогічних працівників факультету.</w:t>
            </w:r>
          </w:p>
        </w:tc>
      </w:tr>
      <w:tr w:rsidR="00DC7B0A" w:rsidRPr="00AA564E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AA564E">
              <w:rPr>
                <w:b/>
              </w:rPr>
              <w:t>9 – Академічна мобільність</w:t>
            </w:r>
          </w:p>
        </w:tc>
      </w:tr>
      <w:tr w:rsidR="00DC7B0A" w:rsidRPr="00AA564E"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Національна кредитна мобільність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>-</w:t>
            </w:r>
          </w:p>
        </w:tc>
      </w:tr>
      <w:tr w:rsidR="00DC7B0A" w:rsidRPr="00AA564E"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Міжнародна кредитна мобільність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>-</w:t>
            </w:r>
          </w:p>
        </w:tc>
      </w:tr>
      <w:tr w:rsidR="00DC7B0A" w:rsidRPr="00AA564E"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AA564E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A564E">
              <w:t>Навчання іноземних студентів проводиться на загальних умовах за умови володіння українською мовою</w:t>
            </w:r>
          </w:p>
        </w:tc>
      </w:tr>
    </w:tbl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szCs w:val="28"/>
        </w:rPr>
      </w:pPr>
      <w:r w:rsidRPr="00AA564E">
        <w:br w:type="page"/>
      </w:r>
      <w:r w:rsidRPr="00AA564E">
        <w:rPr>
          <w:b/>
          <w:sz w:val="28"/>
          <w:szCs w:val="28"/>
        </w:rPr>
        <w:lastRenderedPageBreak/>
        <w:t>2. ПЕРЕЛІК КОМПОНЕНТ ОСВІТНЬО-НАУКОВОЇ ПРОГРАМИ ТА ЇХ ЛОГІЧНА ПОСЛІДОВНІСТЬ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r w:rsidRPr="00AA564E">
        <w:rPr>
          <w:sz w:val="28"/>
          <w:szCs w:val="28"/>
        </w:rPr>
        <w:t>2.1 Перелік компонент ОП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/>
        <w:jc w:val="center"/>
        <w:rPr>
          <w:sz w:val="12"/>
          <w:szCs w:val="12"/>
        </w:rPr>
      </w:pPr>
    </w:p>
    <w:tbl>
      <w:tblPr>
        <w:tblStyle w:val="affe"/>
        <w:tblW w:w="91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00"/>
        <w:gridCol w:w="5280"/>
        <w:gridCol w:w="1170"/>
        <w:gridCol w:w="1481"/>
      </w:tblGrid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Код н/д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 xml:space="preserve">Компоненти освітньої програми </w:t>
            </w:r>
            <w:r w:rsidRPr="00AA564E">
              <w:rPr>
                <w:b/>
                <w:sz w:val="22"/>
                <w:szCs w:val="22"/>
              </w:rPr>
              <w:br/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Кількість кредитів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Форма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підсумкового контролю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1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3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</w:t>
            </w:r>
          </w:p>
        </w:tc>
      </w:tr>
      <w:tr w:rsidR="00DC7B0A" w:rsidRPr="00AA564E">
        <w:tc>
          <w:tcPr>
            <w:tcW w:w="9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Обов’язкові компоненти ОП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ОК.01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Методологія та організація наукових досліджень з основами інтелектуальної власності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3.0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Залік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ОК.02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Професійна та корпоративна етика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3.0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Залік</w:t>
            </w:r>
          </w:p>
        </w:tc>
      </w:tr>
      <w:tr w:rsidR="00DC7B0A" w:rsidRPr="00AA564E">
        <w:trPr>
          <w:trHeight w:val="279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ОК.03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Психологія вищої школи (Психологія комунікації в галузі інформаційних технологій)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3.0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Залік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ОК.04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Методика викладання математики та інформатики у вищій школі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3.0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ОК.05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Методи і технології розробки програмних продуктів / Methods and technologies of software development (англійською мовою)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5.0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ОК.06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 w:rsidP="00E4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 xml:space="preserve">Сучасні операційні системи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ОК.07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Інформаційні мережі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ОК.08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Проєктування і супровід баз даних та знань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B9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sdt>
              <w:sdtPr>
                <w:tag w:val="goog_rdk_0"/>
                <w:id w:val="678624552"/>
              </w:sdtPr>
              <w:sdtEndPr/>
              <w:sdtContent/>
            </w:sdt>
            <w:r w:rsidR="00761CAF" w:rsidRPr="00AA564E">
              <w:rPr>
                <w:sz w:val="22"/>
                <w:szCs w:val="22"/>
              </w:rPr>
              <w:t>ОК.09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Штучний інтелект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ОК.10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Актуальні проблеми обробки інформації в комп'ютерних системах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5.0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ОК.11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Формальні методи розробки програмних систем (англійською мовою) / Formal methods of software development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ОК.12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Прикладні та композиційні логіки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ОК.13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Науково-дослідницька практика без відриву від навчання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Диф. залік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ОК.14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Асистентська практика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3.0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Диф. залік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ОК.15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Підготовка та захист кваліфікаційної роботи магістра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10.0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Захист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ОК.16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Науково-дослідницька практика з відривом від навчання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6.0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Диф. залік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ОК.17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Командна розробка програмного продукту /Team Software Development (англійською мовою)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3.0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Залік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ОК.18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Інтелектуальна обробка текстів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ОК.19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Актуальні проблеми "Data Mining"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ОК.20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Розподілені системи обробки інформації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Залік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ОК.21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Валідація та верифікація програмних систем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4.0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ОК.22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Курсова робота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2.0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Диф. залік</w:t>
            </w:r>
          </w:p>
        </w:tc>
      </w:tr>
      <w:tr w:rsidR="00DC7B0A" w:rsidRPr="00AA564E">
        <w:tc>
          <w:tcPr>
            <w:tcW w:w="64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Загальний обсяг обов'язкових компонент</w:t>
            </w:r>
            <w:r w:rsidRPr="00AA564E">
              <w:rPr>
                <w:sz w:val="22"/>
                <w:szCs w:val="22"/>
              </w:rPr>
              <w:t>: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90</w:t>
            </w:r>
          </w:p>
        </w:tc>
      </w:tr>
      <w:tr w:rsidR="00DC7B0A" w:rsidRPr="00AA564E">
        <w:tc>
          <w:tcPr>
            <w:tcW w:w="9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Вибіркові компоненти  ОП *</w:t>
            </w: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C7B0A" w:rsidRPr="00AA564E">
        <w:tc>
          <w:tcPr>
            <w:tcW w:w="9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Вибір за блоками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Студент може обрати один із запропонованих блоків</w:t>
            </w:r>
          </w:p>
        </w:tc>
      </w:tr>
      <w:tr w:rsidR="00DC7B0A" w:rsidRPr="00AA564E">
        <w:tc>
          <w:tcPr>
            <w:tcW w:w="9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bookmarkStart w:id="4" w:name="_heading=h.3znysh7" w:colFirst="0" w:colLast="0"/>
            <w:bookmarkEnd w:id="4"/>
            <w:r w:rsidRPr="00AA564E">
              <w:rPr>
                <w:b/>
                <w:sz w:val="22"/>
                <w:szCs w:val="22"/>
              </w:rPr>
              <w:t>Вибірковий блок "Інтелектуальні інформаційні технології"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ВК.1.01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Динаміка популяційних систем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ВК.1.02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Сучасні технології розробки програм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ВК.1.03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Системи інтелектуальної обробки текстів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Залік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ВК.1.04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Математичні методи комп'ютерної графіки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4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9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lastRenderedPageBreak/>
              <w:t>Вибірковий блок "Теорія та технологія програмування"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ВК.2.01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Програмна інженерія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ВК.2.02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Інформаційне моделювання систем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ВК.2.03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Інструментальні засоби та технології програмування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Залік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ВК.2.04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Програмні логіки та їх застосування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4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9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Вибірковий блок "Інформаційні технології та системи"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ВК.3.01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Робототехніка та системи штучного інтелекту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ВК.3.02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Комп'ютерні алгебри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ВК.3.03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Аналіз та синтез комунікаційної інформації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Залік</w:t>
            </w: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ВК.3.04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Сучасні обчислювальні системи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4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Іспит</w:t>
            </w:r>
          </w:p>
        </w:tc>
      </w:tr>
      <w:tr w:rsidR="00DC7B0A" w:rsidRPr="00AA564E">
        <w:tc>
          <w:tcPr>
            <w:tcW w:w="6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Вибіркові блоки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19,0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C7B0A" w:rsidRPr="00AA564E">
        <w:tc>
          <w:tcPr>
            <w:tcW w:w="9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AA564E">
              <w:rPr>
                <w:b/>
              </w:rPr>
              <w:t>Вибір з переліку</w:t>
            </w:r>
            <w:r w:rsidRPr="00AA564E">
              <w:rPr>
                <w:i/>
              </w:rPr>
              <w:t xml:space="preserve"> **</w:t>
            </w:r>
          </w:p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C7B0A" w:rsidRPr="00AA564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DC7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Студент може обрати дисциплін із запропонованих переліків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12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Іспити, заліки</w:t>
            </w:r>
          </w:p>
        </w:tc>
      </w:tr>
      <w:tr w:rsidR="00DC7B0A" w:rsidRPr="00AA564E">
        <w:tc>
          <w:tcPr>
            <w:tcW w:w="6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left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Загальний обсяг вибіркових компонент:</w:t>
            </w:r>
          </w:p>
        </w:tc>
        <w:tc>
          <w:tcPr>
            <w:tcW w:w="2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31</w:t>
            </w:r>
          </w:p>
        </w:tc>
      </w:tr>
      <w:tr w:rsidR="00DC7B0A" w:rsidRPr="00AA564E">
        <w:tc>
          <w:tcPr>
            <w:tcW w:w="6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left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ЗАГАЛЬНИЙ ОБСЯГ ОСВІТНЬОЇ ПРОГРАМИ</w:t>
            </w:r>
          </w:p>
        </w:tc>
        <w:tc>
          <w:tcPr>
            <w:tcW w:w="2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120</w:t>
            </w:r>
          </w:p>
        </w:tc>
      </w:tr>
    </w:tbl>
    <w:p w:rsidR="00DC7B0A" w:rsidRPr="00AA564E" w:rsidRDefault="00DC7B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</w:p>
    <w:p w:rsidR="00DC7B0A" w:rsidRPr="00AA564E" w:rsidRDefault="00761C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2"/>
          <w:szCs w:val="22"/>
        </w:rPr>
      </w:pPr>
      <w:r w:rsidRPr="00AA564E">
        <w:rPr>
          <w:sz w:val="22"/>
          <w:szCs w:val="22"/>
        </w:rPr>
        <w:t>* Згідно з п.п. 2.2.2-2.2.7 «Положення про порядок реалізації студентами Київського національного університету імені Тараса Шевченка права на вільний вибір дисциплін» здобувачі освіти мають безумовне право обрати навчальні дисципліни з обов’язкових та вибіркових частин навчальних планів інших спеціальностей того самого рівня, а за умови погодження із деканом факультету / директором інституту - з програм іншого рівня.</w:t>
      </w:r>
    </w:p>
    <w:p w:rsidR="00DC7B0A" w:rsidRPr="00AA564E" w:rsidRDefault="00761C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2"/>
          <w:szCs w:val="22"/>
        </w:rPr>
        <w:sectPr w:rsidR="00DC7B0A" w:rsidRPr="00AA564E">
          <w:pgSz w:w="11906" w:h="16838"/>
          <w:pgMar w:top="1134" w:right="851" w:bottom="1134" w:left="1701" w:header="709" w:footer="709" w:gutter="0"/>
          <w:cols w:space="720"/>
        </w:sectPr>
      </w:pPr>
      <w:r w:rsidRPr="00AA564E">
        <w:rPr>
          <w:sz w:val="22"/>
          <w:szCs w:val="22"/>
        </w:rPr>
        <w:t xml:space="preserve">** Перелік навчальних дисциплін для вибіркової складової та робочі програми навчальних дисциплін представлено на офіційному сайті факультету комп'ютерних наук та кібернетики: </w:t>
      </w:r>
      <w:hyperlink r:id="rId13">
        <w:r w:rsidRPr="00AA564E">
          <w:rPr>
            <w:color w:val="0000FF"/>
            <w:sz w:val="22"/>
            <w:szCs w:val="22"/>
            <w:u w:val="single"/>
          </w:rPr>
          <w:t>http://csc.knu.ua/uk/selected-subjects</w:t>
        </w:r>
      </w:hyperlink>
      <w:r w:rsidRPr="00AA564E">
        <w:rPr>
          <w:sz w:val="22"/>
          <w:szCs w:val="22"/>
        </w:rPr>
        <w:t xml:space="preserve"> та </w:t>
      </w:r>
      <w:hyperlink r:id="rId14">
        <w:r w:rsidRPr="00AA564E">
          <w:rPr>
            <w:color w:val="0000FF"/>
            <w:sz w:val="22"/>
            <w:szCs w:val="22"/>
            <w:u w:val="single"/>
          </w:rPr>
          <w:t>http://csc.knu.ua/uk/programs</w:t>
        </w:r>
      </w:hyperlink>
      <w:r w:rsidRPr="00AA564E">
        <w:rPr>
          <w:sz w:val="22"/>
          <w:szCs w:val="22"/>
        </w:rPr>
        <w:t>.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r w:rsidRPr="00AA564E">
        <w:rPr>
          <w:sz w:val="28"/>
          <w:szCs w:val="28"/>
        </w:rPr>
        <w:lastRenderedPageBreak/>
        <w:t>2.2 Структурно-логічна схема ОП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  <w:sectPr w:rsidR="00DC7B0A" w:rsidRPr="00AA564E">
          <w:pgSz w:w="16838" w:h="11906" w:orient="landscape"/>
          <w:pgMar w:top="284" w:right="1134" w:bottom="540" w:left="1134" w:header="709" w:footer="709" w:gutter="0"/>
          <w:cols w:space="720"/>
        </w:sectPr>
      </w:pPr>
      <w:r w:rsidRPr="00AA564E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9572625" cy="5348605"/>
            <wp:effectExtent l="0" t="0" r="0" b="0"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72625" cy="5348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7B0A" w:rsidRPr="00AA564E" w:rsidRDefault="00761CAF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AA564E">
        <w:rPr>
          <w:b/>
          <w:sz w:val="28"/>
          <w:szCs w:val="28"/>
        </w:rPr>
        <w:lastRenderedPageBreak/>
        <w:t>3. ФОРМА АТЕСТАЦІЇ ЗДОБУВАЧІВ ВИЩОЇ ОСВІТИ</w:t>
      </w:r>
    </w:p>
    <w:p w:rsidR="00DC7B0A" w:rsidRPr="00AA564E" w:rsidRDefault="00DC7B0A" w:rsidP="00E41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</w:p>
    <w:p w:rsidR="00DC7B0A" w:rsidRPr="00AA564E" w:rsidRDefault="00761CAF" w:rsidP="00E41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AA564E">
        <w:t>Атестація випускників освітньої програми «Інформатика» спеціальності  122 «Комп’ютерні науки» проводиться у формі комплексного іспиту з комп’ютерних наук та публічного захисту кваліфікаційної магістерської роботи й завершується видачею документу встановленого зразка про присудження йому ступеня магістра із присвоєнням кваліфікації: Магістр з комп’ютерних наук.</w:t>
      </w:r>
    </w:p>
    <w:p w:rsidR="00DC7B0A" w:rsidRPr="00AA564E" w:rsidRDefault="00761CAF" w:rsidP="00E417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</w:pPr>
      <w:r w:rsidRPr="00AA564E">
        <w:t xml:space="preserve">На комплексному іспиті перевіряється, наскільки здобувачами досягнуто наступних результатів навчання: РН1, РН2, РН3, РН16, РН19. </w:t>
      </w:r>
    </w:p>
    <w:p w:rsidR="00DC7B0A" w:rsidRPr="00AA564E" w:rsidRDefault="00761CAF" w:rsidP="00E417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AA564E">
        <w:t>Кваліфікаційна робота має передбачати розв’язання складної задачі дослідницького та/або інноваційного характеру у сфері комп’ютерних наук. Кваліфікаційна робота не повинна містити академічного плагіату, фальсифікації, фабрикації. Кваліфікаційна робота має бути розміщена на сайті або у публічному репозиторії закладу вищої освіти або його структурного підрозділу. Оприлюднення кваліфікаційних робіт, що містять інформацію з обмеженим доступом, слід здійснювати відповідно до вимог законодавства.</w:t>
      </w:r>
    </w:p>
    <w:p w:rsidR="00DC7B0A" w:rsidRPr="00AA564E" w:rsidRDefault="00761CAF" w:rsidP="00E41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AA564E">
        <w:t>На захисті кваліфікаційної роботи перевіряється, наскільки здобувачами досягнуто наступних результатів навчання: РН2, РН3, РН16, РН19.</w:t>
      </w:r>
    </w:p>
    <w:p w:rsidR="00DC7B0A" w:rsidRPr="00AA564E" w:rsidRDefault="00761CAF" w:rsidP="00E41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AA564E">
        <w:t>Кваліфікаційна робота має бути перевірена на плагіат.</w:t>
      </w:r>
    </w:p>
    <w:p w:rsidR="00DC7B0A" w:rsidRPr="00AA564E" w:rsidRDefault="00761CAF" w:rsidP="00E41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AA564E">
        <w:t>Теми й анотації кваліфікаційних робіт магістрів мають бути оприлюднені на офіційному сайті факультету комп’ютерних наук та кібернетики або випускової кафедри.</w:t>
      </w:r>
    </w:p>
    <w:p w:rsidR="00DC7B0A" w:rsidRPr="00AA564E" w:rsidRDefault="00761CAF" w:rsidP="00E41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AA564E">
        <w:t>Окремим рішенням екзаменаційної комісії за умови дотримання вимог може бути присвоєна професійна кваліфікація «Розробник комп'ютерних програм».</w:t>
      </w:r>
    </w:p>
    <w:p w:rsidR="00DC7B0A" w:rsidRPr="00AA564E" w:rsidRDefault="00761CAF" w:rsidP="00E41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AA564E">
        <w:t xml:space="preserve">Умови присвоєння професійної кваліфікації «Розробник комп'ютерних програм»: </w:t>
      </w:r>
    </w:p>
    <w:p w:rsidR="00DC7B0A" w:rsidRPr="00AA564E" w:rsidRDefault="00761CAF" w:rsidP="00E41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285" w:firstLineChars="236" w:firstLine="566"/>
      </w:pPr>
      <w:r w:rsidRPr="00AA564E">
        <w:t>1. Успішне оволодіння компетентностями блоку дисциплін вільного вибору студента із оцінками не нижче 75 балів.</w:t>
      </w:r>
    </w:p>
    <w:p w:rsidR="00DC7B0A" w:rsidRPr="00AA564E" w:rsidRDefault="00761CAF" w:rsidP="00E41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285" w:firstLineChars="236" w:firstLine="566"/>
      </w:pPr>
      <w:r w:rsidRPr="00AA564E">
        <w:t>2. Проходження всіх практик, які передбачені навчальним планом, з оцінками не нижче 75 балів.</w:t>
      </w:r>
    </w:p>
    <w:p w:rsidR="00DC7B0A" w:rsidRPr="00AA564E" w:rsidRDefault="00761CAF" w:rsidP="00E41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285" w:firstLineChars="236" w:firstLine="566"/>
      </w:pPr>
      <w:r w:rsidRPr="00AA564E">
        <w:t>3. Захист кваліфікаційної роботи магістра (за професійною кваліфікацією) з оцінкою не нижче 75 балів.</w:t>
      </w:r>
    </w:p>
    <w:p w:rsidR="00DC7B0A" w:rsidRPr="00AA564E" w:rsidRDefault="00DC7B0A" w:rsidP="00E41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</w:p>
    <w:p w:rsidR="00DC7B0A" w:rsidRPr="00AA564E" w:rsidRDefault="00DC7B0A" w:rsidP="00E41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</w:p>
    <w:p w:rsidR="00DC7B0A" w:rsidRPr="00AA564E" w:rsidRDefault="00DC7B0A" w:rsidP="00E417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661"/>
        <w:rPr>
          <w:rFonts w:ascii="Arial" w:eastAsia="Arial" w:hAnsi="Arial" w:cs="Arial"/>
          <w:sz w:val="28"/>
          <w:szCs w:val="28"/>
        </w:rPr>
        <w:sectPr w:rsidR="00DC7B0A" w:rsidRPr="00AA564E">
          <w:headerReference w:type="default" r:id="rId16"/>
          <w:pgSz w:w="11906" w:h="16838"/>
          <w:pgMar w:top="1134" w:right="1134" w:bottom="1134" w:left="1701" w:header="720" w:footer="1361" w:gutter="0"/>
          <w:cols w:space="720"/>
        </w:sectPr>
      </w:pPr>
    </w:p>
    <w:p w:rsidR="00DC7B0A" w:rsidRPr="00AA564E" w:rsidRDefault="00B932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szCs w:val="28"/>
        </w:rPr>
      </w:pPr>
      <w:sdt>
        <w:sdtPr>
          <w:tag w:val="goog_rdk_2"/>
          <w:id w:val="-572962791"/>
          <w:showingPlcHdr/>
        </w:sdtPr>
        <w:sdtEndPr/>
        <w:sdtContent>
          <w:r w:rsidR="00AA564E" w:rsidRPr="00AA564E">
            <w:t xml:space="preserve">     </w:t>
          </w:r>
        </w:sdtContent>
      </w:sdt>
      <w:r w:rsidR="00761CAF" w:rsidRPr="00AA564E">
        <w:rPr>
          <w:b/>
          <w:sz w:val="28"/>
          <w:szCs w:val="28"/>
        </w:rPr>
        <w:t>4. МАТРИЦЯ ВІДПОВІДНОСТІ ЗАГАЛЬНИХ ТА СПЕЦІАЛЬНИХ ПРОГРАМНИХ КОМПЕТЕНТНОСТЕЙ</w:t>
      </w: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AA564E">
        <w:rPr>
          <w:b/>
          <w:sz w:val="28"/>
          <w:szCs w:val="28"/>
        </w:rPr>
        <w:t xml:space="preserve">КОМПОНЕНТАМ ОСВІТНЬОЇ ПРОГРАМИ 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ff"/>
        <w:tblW w:w="11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325"/>
        <w:gridCol w:w="359"/>
        <w:gridCol w:w="324"/>
        <w:gridCol w:w="306"/>
        <w:gridCol w:w="358"/>
        <w:gridCol w:w="358"/>
        <w:gridCol w:w="360"/>
        <w:gridCol w:w="367"/>
        <w:gridCol w:w="365"/>
        <w:gridCol w:w="365"/>
        <w:gridCol w:w="367"/>
        <w:gridCol w:w="365"/>
        <w:gridCol w:w="365"/>
        <w:gridCol w:w="365"/>
        <w:gridCol w:w="367"/>
        <w:gridCol w:w="365"/>
        <w:gridCol w:w="365"/>
        <w:gridCol w:w="367"/>
        <w:gridCol w:w="365"/>
        <w:gridCol w:w="365"/>
        <w:gridCol w:w="374"/>
        <w:gridCol w:w="365"/>
        <w:gridCol w:w="304"/>
        <w:gridCol w:w="317"/>
        <w:gridCol w:w="365"/>
        <w:gridCol w:w="367"/>
        <w:gridCol w:w="365"/>
        <w:gridCol w:w="365"/>
        <w:gridCol w:w="420"/>
      </w:tblGrid>
      <w:tr w:rsidR="0056460C" w:rsidRPr="00AA564E" w:rsidTr="00AA564E">
        <w:trPr>
          <w:cantSplit/>
          <w:trHeight w:val="1147"/>
          <w:jc w:val="center"/>
        </w:trPr>
        <w:tc>
          <w:tcPr>
            <w:tcW w:w="951" w:type="dxa"/>
            <w:shd w:val="clear" w:color="auto" w:fill="F2DBDB"/>
            <w:textDirection w:val="btLr"/>
          </w:tcPr>
          <w:p w:rsidR="00DC7B0A" w:rsidRPr="00AA564E" w:rsidRDefault="00DC7B0A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2DBDB"/>
            <w:textDirection w:val="btLr"/>
            <w:vAlign w:val="cente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ЗК-1</w:t>
            </w:r>
          </w:p>
        </w:tc>
        <w:tc>
          <w:tcPr>
            <w:tcW w:w="359" w:type="dxa"/>
            <w:shd w:val="clear" w:color="auto" w:fill="F2DBDB"/>
            <w:textDirection w:val="btLr"/>
            <w:vAlign w:val="cente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ЗК-2</w:t>
            </w:r>
          </w:p>
        </w:tc>
        <w:tc>
          <w:tcPr>
            <w:tcW w:w="324" w:type="dxa"/>
            <w:shd w:val="clear" w:color="auto" w:fill="F2DBDB"/>
            <w:textDirection w:val="btLr"/>
            <w:vAlign w:val="cente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ЗК-3</w:t>
            </w:r>
          </w:p>
        </w:tc>
        <w:tc>
          <w:tcPr>
            <w:tcW w:w="306" w:type="dxa"/>
            <w:shd w:val="clear" w:color="auto" w:fill="F2DBDB"/>
            <w:textDirection w:val="btLr"/>
            <w:vAlign w:val="cente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ЗК-4</w:t>
            </w:r>
          </w:p>
        </w:tc>
        <w:tc>
          <w:tcPr>
            <w:tcW w:w="358" w:type="dxa"/>
            <w:shd w:val="clear" w:color="auto" w:fill="F2DBDB"/>
            <w:textDirection w:val="btLr"/>
            <w:vAlign w:val="cente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ЗК-5</w:t>
            </w:r>
          </w:p>
        </w:tc>
        <w:tc>
          <w:tcPr>
            <w:tcW w:w="358" w:type="dxa"/>
            <w:shd w:val="clear" w:color="auto" w:fill="F2DBDB"/>
            <w:textDirection w:val="btLr"/>
            <w:vAlign w:val="cente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ЗК-6</w:t>
            </w:r>
          </w:p>
        </w:tc>
        <w:tc>
          <w:tcPr>
            <w:tcW w:w="360" w:type="dxa"/>
            <w:shd w:val="clear" w:color="auto" w:fill="F2DBDB"/>
            <w:textDirection w:val="btLr"/>
            <w:vAlign w:val="cente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ЗК-7</w:t>
            </w:r>
          </w:p>
        </w:tc>
        <w:tc>
          <w:tcPr>
            <w:tcW w:w="367" w:type="dxa"/>
            <w:shd w:val="clear" w:color="auto" w:fill="DEEAF6"/>
            <w:textDirection w:val="btL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СК-1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СК-2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СК-3</w:t>
            </w:r>
          </w:p>
        </w:tc>
        <w:tc>
          <w:tcPr>
            <w:tcW w:w="367" w:type="dxa"/>
            <w:shd w:val="clear" w:color="auto" w:fill="DEEAF6"/>
            <w:textDirection w:val="btL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СК-4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СК-5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СК-6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СК-7</w:t>
            </w:r>
          </w:p>
        </w:tc>
        <w:tc>
          <w:tcPr>
            <w:tcW w:w="367" w:type="dxa"/>
            <w:shd w:val="clear" w:color="auto" w:fill="DEEAF6"/>
            <w:textDirection w:val="btL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СК-8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СК-9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СК-10</w:t>
            </w:r>
          </w:p>
        </w:tc>
        <w:tc>
          <w:tcPr>
            <w:tcW w:w="367" w:type="dxa"/>
            <w:shd w:val="clear" w:color="auto" w:fill="DEEAF6"/>
            <w:textDirection w:val="btLr"/>
          </w:tcPr>
          <w:p w:rsidR="00DC7B0A" w:rsidRPr="00AA564E" w:rsidRDefault="00761CAF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СК-11</w:t>
            </w:r>
          </w:p>
        </w:tc>
        <w:tc>
          <w:tcPr>
            <w:tcW w:w="365" w:type="dxa"/>
            <w:shd w:val="clear" w:color="auto" w:fill="DEEAF6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ДСК1</w:t>
            </w:r>
          </w:p>
        </w:tc>
        <w:tc>
          <w:tcPr>
            <w:tcW w:w="365" w:type="dxa"/>
            <w:shd w:val="clear" w:color="auto" w:fill="DEEAF6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ДСК2</w:t>
            </w:r>
          </w:p>
        </w:tc>
        <w:tc>
          <w:tcPr>
            <w:tcW w:w="374" w:type="dxa"/>
            <w:shd w:val="clear" w:color="auto" w:fill="EAF1DD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СК12.1</w:t>
            </w:r>
          </w:p>
        </w:tc>
        <w:tc>
          <w:tcPr>
            <w:tcW w:w="365" w:type="dxa"/>
            <w:shd w:val="clear" w:color="auto" w:fill="FFFFFF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СК13.1</w:t>
            </w:r>
          </w:p>
        </w:tc>
        <w:tc>
          <w:tcPr>
            <w:tcW w:w="304" w:type="dxa"/>
            <w:shd w:val="clear" w:color="auto" w:fill="FFFFFF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СК14.1</w:t>
            </w:r>
          </w:p>
        </w:tc>
        <w:tc>
          <w:tcPr>
            <w:tcW w:w="317" w:type="dxa"/>
            <w:shd w:val="clear" w:color="auto" w:fill="FFFFFF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СК12.2</w:t>
            </w:r>
          </w:p>
        </w:tc>
        <w:tc>
          <w:tcPr>
            <w:tcW w:w="365" w:type="dxa"/>
            <w:shd w:val="clear" w:color="auto" w:fill="FFFFFF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СК13.2</w:t>
            </w:r>
          </w:p>
        </w:tc>
        <w:tc>
          <w:tcPr>
            <w:tcW w:w="367" w:type="dxa"/>
            <w:shd w:val="clear" w:color="auto" w:fill="FFFFFF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СК14.2</w:t>
            </w:r>
          </w:p>
        </w:tc>
        <w:tc>
          <w:tcPr>
            <w:tcW w:w="365" w:type="dxa"/>
            <w:shd w:val="clear" w:color="auto" w:fill="FFFFFF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СК12.3</w:t>
            </w:r>
          </w:p>
        </w:tc>
        <w:tc>
          <w:tcPr>
            <w:tcW w:w="365" w:type="dxa"/>
            <w:shd w:val="clear" w:color="auto" w:fill="FFFFFF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СК13.3</w:t>
            </w:r>
          </w:p>
        </w:tc>
        <w:tc>
          <w:tcPr>
            <w:tcW w:w="420" w:type="dxa"/>
            <w:shd w:val="clear" w:color="auto" w:fill="FFFFFF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СК14.3</w:t>
            </w: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ОК.01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18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ОК.02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ОК.03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ОК.04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ОК.05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ОК.06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ОК.07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ОК.08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ОК.09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6460C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ОК.10</w:t>
            </w:r>
          </w:p>
        </w:tc>
        <w:tc>
          <w:tcPr>
            <w:tcW w:w="32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6460C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ОК.11</w:t>
            </w:r>
          </w:p>
        </w:tc>
        <w:tc>
          <w:tcPr>
            <w:tcW w:w="32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ОК.12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ОК.13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ОК.14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ОК.15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ОК.16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ОК.17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ОК.18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ОК.19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ОК.20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ОК.21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ОК.22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83"/>
          <w:jc w:val="center"/>
        </w:trPr>
        <w:tc>
          <w:tcPr>
            <w:tcW w:w="11336" w:type="dxa"/>
            <w:gridSpan w:val="3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Вибіркові компоненти  ОП *</w:t>
            </w:r>
          </w:p>
        </w:tc>
      </w:tr>
      <w:tr w:rsidR="00DC7B0A" w:rsidRPr="00AA564E">
        <w:trPr>
          <w:trHeight w:val="283"/>
          <w:jc w:val="center"/>
        </w:trPr>
        <w:tc>
          <w:tcPr>
            <w:tcW w:w="11336" w:type="dxa"/>
            <w:gridSpan w:val="3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Вибір за блоками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sz w:val="22"/>
                <w:szCs w:val="22"/>
              </w:rPr>
              <w:t>Студент може обрати один із запропонованих блоків</w:t>
            </w:r>
          </w:p>
        </w:tc>
      </w:tr>
      <w:tr w:rsidR="00DC7B0A" w:rsidRPr="00AA564E">
        <w:trPr>
          <w:trHeight w:val="283"/>
          <w:jc w:val="center"/>
        </w:trPr>
        <w:tc>
          <w:tcPr>
            <w:tcW w:w="11336" w:type="dxa"/>
            <w:gridSpan w:val="3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Вибірковий блок "Інтелектуальні інформаційні технології"</w:t>
            </w:r>
          </w:p>
        </w:tc>
      </w:tr>
      <w:tr w:rsidR="0056460C" w:rsidRPr="00AA564E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lastRenderedPageBreak/>
              <w:t>ВК.1.01</w:t>
            </w:r>
          </w:p>
        </w:tc>
        <w:tc>
          <w:tcPr>
            <w:tcW w:w="32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6460C" w:rsidRPr="00AA564E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ВК.1.02</w:t>
            </w:r>
          </w:p>
        </w:tc>
        <w:tc>
          <w:tcPr>
            <w:tcW w:w="32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6460C" w:rsidRPr="00AA564E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ВК.1.03</w:t>
            </w:r>
          </w:p>
        </w:tc>
        <w:tc>
          <w:tcPr>
            <w:tcW w:w="32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6460C" w:rsidRPr="00AA564E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ВК.1.04</w:t>
            </w:r>
          </w:p>
        </w:tc>
        <w:tc>
          <w:tcPr>
            <w:tcW w:w="32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83"/>
          <w:jc w:val="center"/>
        </w:trPr>
        <w:tc>
          <w:tcPr>
            <w:tcW w:w="11336" w:type="dxa"/>
            <w:gridSpan w:val="3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Вибірковий блок "Теорія та технологія програмування"</w:t>
            </w:r>
          </w:p>
        </w:tc>
      </w:tr>
      <w:tr w:rsidR="00DC7B0A" w:rsidRPr="00AA564E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ВК.2.01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ВК.2.02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ВК.2.03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ВК.2.04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C7B0A" w:rsidRPr="00AA564E">
        <w:trPr>
          <w:trHeight w:val="283"/>
          <w:jc w:val="center"/>
        </w:trPr>
        <w:tc>
          <w:tcPr>
            <w:tcW w:w="11336" w:type="dxa"/>
            <w:gridSpan w:val="30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Вибірковий блок "Інформаційні технології та системи"</w:t>
            </w:r>
          </w:p>
        </w:tc>
      </w:tr>
      <w:tr w:rsidR="00DC7B0A" w:rsidRPr="00AA564E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ВК.3.01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C7B0A" w:rsidRPr="00AA564E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ВК.3.02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C7B0A" w:rsidRPr="00AA564E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ВК.3.03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</w:tr>
      <w:tr w:rsidR="00DC7B0A" w:rsidRPr="00AA564E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AA564E">
              <w:rPr>
                <w:rFonts w:ascii="Times" w:eastAsia="Times" w:hAnsi="Times" w:cs="Times"/>
                <w:sz w:val="22"/>
                <w:szCs w:val="22"/>
              </w:rPr>
              <w:t>ВК.3.04</w:t>
            </w:r>
          </w:p>
        </w:tc>
        <w:tc>
          <w:tcPr>
            <w:tcW w:w="32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EAF1DD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FFFFFF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:rsidR="00DC7B0A" w:rsidRPr="00AA564E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szCs w:val="28"/>
        </w:rPr>
      </w:pPr>
      <w:r w:rsidRPr="00AA564E">
        <w:br w:type="page"/>
      </w:r>
      <w:r w:rsidRPr="00AA564E">
        <w:rPr>
          <w:b/>
          <w:sz w:val="28"/>
          <w:szCs w:val="28"/>
        </w:rPr>
        <w:lastRenderedPageBreak/>
        <w:t>5. МАТРИЦЯ ЗАБЕЗПЕЧЕННЯ ПРОГРАМНИХ РЕЗУЛЬТАТІВ НАВЧАННЯ (ПРН) ВІДПОВІДНИМИ КОМПОНЕНТАМИ  ОСВІТНЬОЇ ПРОГРАМИ</w:t>
      </w:r>
    </w:p>
    <w:p w:rsidR="00DC7B0A" w:rsidRPr="00AA564E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ff0"/>
        <w:tblW w:w="134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AA564E" w:rsidRPr="00AA564E" w:rsidTr="00AA564E">
        <w:trPr>
          <w:cantSplit/>
          <w:trHeight w:val="1448"/>
          <w:jc w:val="center"/>
        </w:trPr>
        <w:tc>
          <w:tcPr>
            <w:tcW w:w="1219" w:type="dxa"/>
            <w:shd w:val="clear" w:color="auto" w:fill="auto"/>
            <w:textDirection w:val="btLr"/>
          </w:tcPr>
          <w:p w:rsidR="00DC7B0A" w:rsidRPr="00AA564E" w:rsidRDefault="00DC7B0A" w:rsidP="00AA5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РН10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РН11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РН12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РН13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РН14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РН15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РН16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РН17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РН18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РН19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РН20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РН21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РН-22.1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РН-23.1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РН-24.1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РН-25.1</w:t>
            </w:r>
          </w:p>
        </w:tc>
        <w:tc>
          <w:tcPr>
            <w:tcW w:w="305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РН-26.1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РН-22.2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РН-23.2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РН-24.2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РН-25.2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РН-26.2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РН-22.3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РН-23.3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РН-24.3</w:t>
            </w:r>
          </w:p>
        </w:tc>
        <w:tc>
          <w:tcPr>
            <w:tcW w:w="340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РН-25.3</w:t>
            </w:r>
          </w:p>
        </w:tc>
        <w:tc>
          <w:tcPr>
            <w:tcW w:w="342" w:type="dxa"/>
            <w:shd w:val="clear" w:color="auto" w:fill="auto"/>
            <w:textDirection w:val="btLr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AA564E">
              <w:rPr>
                <w:b/>
              </w:rPr>
              <w:t>РН-26.3</w:t>
            </w:r>
          </w:p>
        </w:tc>
      </w:tr>
      <w:tr w:rsidR="00DC7B0A" w:rsidRPr="00AA564E" w:rsidTr="00AA564E">
        <w:trPr>
          <w:jc w:val="center"/>
        </w:trPr>
        <w:tc>
          <w:tcPr>
            <w:tcW w:w="13426" w:type="dxa"/>
            <w:gridSpan w:val="37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Обов’язкові компоненти ОП</w:t>
            </w: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ОК.01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ОК.02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ОК.03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ОК.04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ОК.05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ОК.06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ОК.07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ОК.08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ОК.09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ОК.10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ОК.11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ОК.12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ОК.13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ОК.14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ОК.15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ОК.16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ОК.17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ОК.18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ОК.19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lastRenderedPageBreak/>
              <w:t>ОК.20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ОК.21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ОК.22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C7B0A" w:rsidRPr="00AA564E" w:rsidTr="00AA564E">
        <w:trPr>
          <w:jc w:val="center"/>
        </w:trPr>
        <w:tc>
          <w:tcPr>
            <w:tcW w:w="13426" w:type="dxa"/>
            <w:gridSpan w:val="37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2"/>
                <w:szCs w:val="22"/>
              </w:rPr>
              <w:t>Вибіркові компоненти  ОП *</w:t>
            </w:r>
          </w:p>
        </w:tc>
      </w:tr>
      <w:tr w:rsidR="00DC7B0A" w:rsidRPr="00AA564E" w:rsidTr="00AA564E">
        <w:trPr>
          <w:jc w:val="center"/>
        </w:trPr>
        <w:tc>
          <w:tcPr>
            <w:tcW w:w="13426" w:type="dxa"/>
            <w:gridSpan w:val="37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AA564E">
              <w:rPr>
                <w:b/>
                <w:sz w:val="22"/>
                <w:szCs w:val="22"/>
              </w:rPr>
              <w:t>Вибір за блоками</w:t>
            </w:r>
          </w:p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AA564E">
              <w:rPr>
                <w:sz w:val="22"/>
                <w:szCs w:val="22"/>
              </w:rPr>
              <w:t>Студент може обрати один із запропонованих блоків</w:t>
            </w:r>
          </w:p>
        </w:tc>
      </w:tr>
      <w:tr w:rsidR="00DC7B0A" w:rsidRPr="00AA564E" w:rsidTr="00AA564E">
        <w:trPr>
          <w:jc w:val="center"/>
        </w:trPr>
        <w:tc>
          <w:tcPr>
            <w:tcW w:w="13426" w:type="dxa"/>
            <w:gridSpan w:val="37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0"/>
                <w:szCs w:val="20"/>
              </w:rPr>
              <w:t>Вибірковий блок</w:t>
            </w:r>
            <w:r w:rsidRPr="00AA564E">
              <w:rPr>
                <w:b/>
                <w:sz w:val="22"/>
                <w:szCs w:val="22"/>
              </w:rPr>
              <w:t xml:space="preserve"> "Інтелектуальні інформаційні технології"</w:t>
            </w: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ВК.1.01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ВК.1.02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ВК.1.03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ВК.1.04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C7B0A" w:rsidRPr="00AA564E" w:rsidTr="00AA564E">
        <w:trPr>
          <w:jc w:val="center"/>
        </w:trPr>
        <w:tc>
          <w:tcPr>
            <w:tcW w:w="13426" w:type="dxa"/>
            <w:gridSpan w:val="37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0"/>
                <w:szCs w:val="20"/>
              </w:rPr>
              <w:t>Вибірковий блок</w:t>
            </w:r>
            <w:r w:rsidRPr="00AA564E">
              <w:rPr>
                <w:b/>
                <w:sz w:val="22"/>
                <w:szCs w:val="22"/>
              </w:rPr>
              <w:t xml:space="preserve"> "Теорія та технологія програмування"</w:t>
            </w: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ВК.2.01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ВК.2.02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ВК.2.03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ВК.2.04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C7B0A" w:rsidRPr="00AA564E" w:rsidTr="00AA564E">
        <w:trPr>
          <w:jc w:val="center"/>
        </w:trPr>
        <w:tc>
          <w:tcPr>
            <w:tcW w:w="13426" w:type="dxa"/>
            <w:gridSpan w:val="37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0"/>
                <w:szCs w:val="20"/>
              </w:rPr>
              <w:t>Вибірковий блок</w:t>
            </w:r>
            <w:r w:rsidRPr="00AA564E">
              <w:rPr>
                <w:b/>
                <w:sz w:val="22"/>
                <w:szCs w:val="22"/>
              </w:rPr>
              <w:t xml:space="preserve"> "Інформаційні технології та системи"</w:t>
            </w: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ВК.3.01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ВК.3.02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ВК.3.03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2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AA564E" w:rsidRPr="00AA564E" w:rsidTr="00AA564E">
        <w:trPr>
          <w:jc w:val="center"/>
        </w:trPr>
        <w:tc>
          <w:tcPr>
            <w:tcW w:w="1219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AA564E">
              <w:rPr>
                <w:rFonts w:ascii="Times" w:eastAsia="Times" w:hAnsi="Times" w:cs="Times"/>
                <w:sz w:val="20"/>
                <w:szCs w:val="20"/>
              </w:rPr>
              <w:t>ВК.3.04</w:t>
            </w: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DC7B0A" w:rsidRPr="00AA564E" w:rsidRDefault="00DC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DC7B0A" w:rsidRPr="00AA564E" w:rsidRDefault="00761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AA564E">
              <w:rPr>
                <w:b/>
                <w:sz w:val="28"/>
                <w:szCs w:val="28"/>
              </w:rPr>
              <w:t>+</w:t>
            </w:r>
          </w:p>
        </w:tc>
      </w:tr>
    </w:tbl>
    <w:p w:rsidR="00DC7B0A" w:rsidRPr="00AA564E" w:rsidRDefault="00DC7B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</w:pPr>
    </w:p>
    <w:p w:rsidR="00DC7B0A" w:rsidRPr="00AA564E" w:rsidRDefault="00761C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</w:pPr>
      <w:r w:rsidRPr="00AA564E">
        <w:rPr>
          <w:b/>
        </w:rPr>
        <w:t xml:space="preserve">Гарант освітньої програми: </w:t>
      </w:r>
      <w:r w:rsidRPr="00AA564E">
        <w:t>Степан ШКІЛЬНЯК, професор кафедри теорії та технології програмування, доктор фізико-математичних наук</w:t>
      </w:r>
    </w:p>
    <w:p w:rsidR="00DC7B0A" w:rsidRDefault="00761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</w:pPr>
      <w:r w:rsidRPr="00AA564E">
        <w:t>_______________________  «_____»__________________ 202__ р.</w:t>
      </w:r>
    </w:p>
    <w:p w:rsidR="00DC7B0A" w:rsidRDefault="00DC7B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hanging="3"/>
        <w:jc w:val="left"/>
        <w:rPr>
          <w:sz w:val="28"/>
          <w:szCs w:val="28"/>
        </w:rPr>
      </w:pPr>
    </w:p>
    <w:sectPr w:rsidR="00DC7B0A">
      <w:footerReference w:type="default" r:id="rId17"/>
      <w:pgSz w:w="16838" w:h="11906" w:orient="landscape"/>
      <w:pgMar w:top="1418" w:right="1134" w:bottom="567" w:left="1134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203" w:rsidRDefault="00B93203">
      <w:pPr>
        <w:spacing w:line="240" w:lineRule="auto"/>
        <w:ind w:left="0" w:hanging="2"/>
      </w:pPr>
      <w:r>
        <w:separator/>
      </w:r>
    </w:p>
  </w:endnote>
  <w:endnote w:type="continuationSeparator" w:id="0">
    <w:p w:rsidR="00B93203" w:rsidRDefault="00B932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0A" w:rsidRDefault="00DC7B0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</w:p>
  <w:p w:rsidR="00DC7B0A" w:rsidRDefault="00DC7B0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0A" w:rsidRDefault="00761CA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A2701B">
      <w:rPr>
        <w:noProof/>
      </w:rPr>
      <w:t>3</w:t>
    </w:r>
    <w:r>
      <w:fldChar w:fldCharType="end"/>
    </w:r>
  </w:p>
  <w:p w:rsidR="00DC7B0A" w:rsidRDefault="00DC7B0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0A" w:rsidRDefault="00761CA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A2701B">
      <w:rPr>
        <w:noProof/>
      </w:rPr>
      <w:t>4</w:t>
    </w:r>
    <w:r>
      <w:fldChar w:fldCharType="end"/>
    </w:r>
  </w:p>
  <w:p w:rsidR="00DC7B0A" w:rsidRDefault="00DC7B0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0A" w:rsidRDefault="00761CA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A2701B">
      <w:rPr>
        <w:noProof/>
      </w:rPr>
      <w:t>23</w:t>
    </w:r>
    <w:r>
      <w:fldChar w:fldCharType="end"/>
    </w:r>
  </w:p>
  <w:p w:rsidR="00DC7B0A" w:rsidRDefault="00DC7B0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203" w:rsidRDefault="00B93203">
      <w:pPr>
        <w:spacing w:line="240" w:lineRule="auto"/>
        <w:ind w:left="0" w:hanging="2"/>
      </w:pPr>
      <w:r>
        <w:separator/>
      </w:r>
    </w:p>
  </w:footnote>
  <w:footnote w:type="continuationSeparator" w:id="0">
    <w:p w:rsidR="00B93203" w:rsidRDefault="00B932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0A" w:rsidRDefault="00DC7B0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4536"/>
        <w:tab w:val="right" w:pos="9072"/>
      </w:tabs>
      <w:spacing w:line="240" w:lineRule="auto"/>
      <w:ind w:left="0" w:hanging="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668B"/>
    <w:multiLevelType w:val="multilevel"/>
    <w:tmpl w:val="5DF2844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F2C0022"/>
    <w:multiLevelType w:val="multilevel"/>
    <w:tmpl w:val="76AAFD76"/>
    <w:lvl w:ilvl="0">
      <w:start w:val="1"/>
      <w:numFmt w:val="decimal"/>
      <w:pStyle w:val="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0A"/>
    <w:rsid w:val="0056460C"/>
    <w:rsid w:val="006F316F"/>
    <w:rsid w:val="00761CAF"/>
    <w:rsid w:val="00A2701B"/>
    <w:rsid w:val="00AA564E"/>
    <w:rsid w:val="00B93203"/>
    <w:rsid w:val="00D91E0D"/>
    <w:rsid w:val="00DC7B0A"/>
    <w:rsid w:val="00E4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08763-8FBD-4FE2-9867-32CFF64A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tabs>
        <w:tab w:val="left" w:pos="459"/>
      </w:tabs>
      <w:suppressAutoHyphens/>
      <w:spacing w:line="1" w:lineRule="atLeast"/>
      <w:ind w:leftChars="-1" w:left="34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styleId="1">
    <w:name w:val="heading 1"/>
    <w:basedOn w:val="a0"/>
    <w:next w:val="a0"/>
    <w:pPr>
      <w:keepNext/>
      <w:widowControl w:val="0"/>
      <w:numPr>
        <w:numId w:val="1"/>
      </w:numPr>
      <w:suppressAutoHyphens w:val="0"/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  <w:lang w:val="uk-UA" w:eastAsia="ar-SA"/>
    </w:rPr>
  </w:style>
  <w:style w:type="paragraph" w:styleId="2">
    <w:name w:val="heading 2"/>
    <w:basedOn w:val="a0"/>
    <w:next w:val="a0"/>
    <w:pPr>
      <w:keepNext/>
      <w:widowControl w:val="0"/>
      <w:numPr>
        <w:ilvl w:val="1"/>
        <w:numId w:val="1"/>
      </w:numPr>
      <w:suppressAutoHyphens w:val="0"/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0"/>
    <w:next w:val="a1"/>
    <w:pPr>
      <w:widowControl w:val="0"/>
      <w:numPr>
        <w:ilvl w:val="2"/>
        <w:numId w:val="1"/>
      </w:numPr>
      <w:suppressAutoHyphens w:val="0"/>
      <w:spacing w:before="280" w:after="280"/>
      <w:ind w:left="-1" w:hanging="1"/>
      <w:outlineLvl w:val="2"/>
    </w:pPr>
    <w:rPr>
      <w:b/>
      <w:bCs/>
      <w:sz w:val="27"/>
      <w:szCs w:val="27"/>
      <w:lang w:val="uk-UA" w:eastAsia="ar-SA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-BoldMT" w:hAnsi="Arial-BoldMT" w:cs="Arial-BoldM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0">
    <w:name w:val="Основной текст с отступом 2 Знак"/>
    <w:rPr>
      <w:rFonts w:ascii="Arial" w:eastAsia="Times New Roman" w:hAnsi="Arial" w:cs="Times New Roman"/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a8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a">
    <w:name w:val="Текст сноски Знак"/>
    <w:basedOn w:val="1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Символи виноски"/>
    <w:rPr>
      <w:rFonts w:ascii="Times New Roman" w:eastAsia="Times New Roman" w:hAnsi="Times New Roman" w:cs="Times New Roman"/>
      <w:w w:val="100"/>
      <w:position w:val="-1"/>
      <w:effect w:val="none"/>
      <w:vertAlign w:val="superscript"/>
      <w:cs w:val="0"/>
      <w:em w:val="none"/>
    </w:rPr>
  </w:style>
  <w:style w:type="paragraph" w:customStyle="1" w:styleId="11">
    <w:name w:val="Заголовок1"/>
    <w:basedOn w:val="a0"/>
    <w:next w:val="a1"/>
    <w:pPr>
      <w:keepNext/>
      <w:widowControl w:val="0"/>
      <w:suppressAutoHyphens w:val="0"/>
      <w:spacing w:before="240" w:after="120"/>
      <w:ind w:left="-1"/>
    </w:pPr>
    <w:rPr>
      <w:rFonts w:ascii="Arial" w:eastAsia="Arial Unicode MS" w:hAnsi="Arial" w:cs="Mangal"/>
      <w:sz w:val="28"/>
      <w:szCs w:val="28"/>
      <w:lang w:val="uk-UA" w:eastAsia="ar-SA"/>
    </w:rPr>
  </w:style>
  <w:style w:type="paragraph" w:styleId="a1">
    <w:name w:val="Body Text"/>
    <w:basedOn w:val="a0"/>
    <w:pPr>
      <w:widowControl w:val="0"/>
      <w:suppressAutoHyphens w:val="0"/>
      <w:spacing w:after="120"/>
      <w:ind w:left="-1"/>
    </w:pPr>
    <w:rPr>
      <w:lang w:val="uk-UA" w:eastAsia="ar-SA"/>
    </w:rPr>
  </w:style>
  <w:style w:type="paragraph" w:styleId="ac">
    <w:name w:val="List"/>
    <w:basedOn w:val="a1"/>
    <w:rPr>
      <w:rFonts w:ascii="Arial" w:hAnsi="Arial" w:cs="Mangal"/>
    </w:rPr>
  </w:style>
  <w:style w:type="paragraph" w:customStyle="1" w:styleId="12">
    <w:name w:val="Назва1"/>
    <w:basedOn w:val="a0"/>
    <w:pPr>
      <w:widowControl w:val="0"/>
      <w:suppressLineNumbers/>
      <w:suppressAutoHyphens w:val="0"/>
      <w:spacing w:before="120" w:after="120"/>
      <w:ind w:left="-1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d">
    <w:name w:val="Покажчик"/>
    <w:basedOn w:val="a0"/>
    <w:pPr>
      <w:widowControl w:val="0"/>
      <w:suppressLineNumbers/>
      <w:suppressAutoHyphens w:val="0"/>
      <w:ind w:left="-1"/>
    </w:pPr>
    <w:rPr>
      <w:rFonts w:ascii="Arial" w:hAnsi="Arial" w:cs="Mangal"/>
      <w:lang w:val="uk-UA" w:eastAsia="ar-SA"/>
    </w:rPr>
  </w:style>
  <w:style w:type="paragraph" w:styleId="ae">
    <w:name w:val="footer"/>
    <w:basedOn w:val="a0"/>
    <w:pPr>
      <w:widowControl w:val="0"/>
      <w:tabs>
        <w:tab w:val="center" w:pos="4677"/>
        <w:tab w:val="right" w:pos="9355"/>
      </w:tabs>
      <w:suppressAutoHyphens w:val="0"/>
      <w:ind w:left="-1"/>
    </w:pPr>
    <w:rPr>
      <w:lang w:eastAsia="ar-SA"/>
    </w:rPr>
  </w:style>
  <w:style w:type="paragraph" w:styleId="af">
    <w:name w:val="Body Text Indent"/>
    <w:basedOn w:val="a0"/>
    <w:pPr>
      <w:widowControl w:val="0"/>
      <w:suppressAutoHyphens w:val="0"/>
      <w:spacing w:after="120"/>
      <w:ind w:left="283" w:firstLine="0"/>
    </w:pPr>
    <w:rPr>
      <w:lang w:val="uk-UA" w:eastAsia="ar-SA"/>
    </w:rPr>
  </w:style>
  <w:style w:type="paragraph" w:customStyle="1" w:styleId="21">
    <w:name w:val="Основной текст с отступом 21"/>
    <w:basedOn w:val="a0"/>
    <w:pPr>
      <w:widowControl w:val="0"/>
      <w:suppressAutoHyphens w:val="0"/>
      <w:autoSpaceDE w:val="0"/>
      <w:spacing w:after="120" w:line="480" w:lineRule="auto"/>
      <w:ind w:left="283" w:firstLine="0"/>
    </w:pPr>
    <w:rPr>
      <w:rFonts w:ascii="Arial" w:hAnsi="Arial"/>
      <w:sz w:val="20"/>
      <w:szCs w:val="20"/>
      <w:lang w:eastAsia="ar-SA"/>
    </w:rPr>
  </w:style>
  <w:style w:type="paragraph" w:styleId="af0">
    <w:name w:val="header"/>
    <w:basedOn w:val="a0"/>
    <w:pPr>
      <w:widowControl w:val="0"/>
      <w:tabs>
        <w:tab w:val="center" w:pos="4677"/>
        <w:tab w:val="right" w:pos="9355"/>
      </w:tabs>
      <w:suppressAutoHyphens w:val="0"/>
      <w:ind w:left="-1"/>
    </w:pPr>
    <w:rPr>
      <w:lang w:val="uk-UA" w:eastAsia="ar-SA"/>
    </w:rPr>
  </w:style>
  <w:style w:type="paragraph" w:styleId="af1">
    <w:name w:val="Balloon Text"/>
    <w:basedOn w:val="a0"/>
    <w:pPr>
      <w:widowControl w:val="0"/>
      <w:suppressAutoHyphens w:val="0"/>
      <w:ind w:left="-1"/>
    </w:pPr>
    <w:rPr>
      <w:rFonts w:ascii="Tahoma" w:hAnsi="Tahoma"/>
      <w:sz w:val="16"/>
      <w:szCs w:val="16"/>
      <w:lang w:eastAsia="ar-SA"/>
    </w:rPr>
  </w:style>
  <w:style w:type="paragraph" w:styleId="af2">
    <w:name w:val="footnote text"/>
    <w:basedOn w:val="a0"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paragraph" w:customStyle="1" w:styleId="af3">
    <w:name w:val="Вміст таблиці"/>
    <w:basedOn w:val="a0"/>
    <w:pPr>
      <w:widowControl w:val="0"/>
      <w:suppressLineNumbers/>
      <w:suppressAutoHyphens w:val="0"/>
      <w:ind w:left="-1"/>
    </w:pPr>
    <w:rPr>
      <w:lang w:val="uk-UA" w:eastAsia="ar-SA"/>
    </w:rPr>
  </w:style>
  <w:style w:type="paragraph" w:customStyle="1" w:styleId="af4">
    <w:name w:val="Заголовок таблиці"/>
    <w:basedOn w:val="af3"/>
    <w:pPr>
      <w:jc w:val="center"/>
    </w:pPr>
    <w:rPr>
      <w:b/>
      <w:bCs/>
    </w:rPr>
  </w:style>
  <w:style w:type="paragraph" w:customStyle="1" w:styleId="ListParagraph1">
    <w:name w:val="List Paragraph1"/>
    <w:basedOn w:val="a0"/>
    <w:pPr>
      <w:widowControl w:val="0"/>
      <w:suppressAutoHyphens w:val="0"/>
      <w:ind w:left="720" w:firstLine="709"/>
    </w:pPr>
    <w:rPr>
      <w:lang w:val="uk-UA" w:eastAsia="ar-SA"/>
    </w:rPr>
  </w:style>
  <w:style w:type="paragraph" w:customStyle="1" w:styleId="af5">
    <w:name w:val="Таблица обычный"/>
    <w:basedOn w:val="a0"/>
    <w:pPr>
      <w:ind w:left="-1"/>
    </w:pPr>
    <w:rPr>
      <w:lang w:val="uk-UA"/>
    </w:rPr>
  </w:style>
  <w:style w:type="character" w:customStyle="1" w:styleId="af6">
    <w:name w:val="Таблица обычный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styleId="af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8">
    <w:name w:val="annotation text"/>
    <w:basedOn w:val="a0"/>
    <w:qFormat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character" w:customStyle="1" w:styleId="af9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 w:eastAsia="ar-SA"/>
    </w:rPr>
  </w:style>
  <w:style w:type="paragraph" w:styleId="afa">
    <w:name w:val="annotation subject"/>
    <w:basedOn w:val="af8"/>
    <w:next w:val="af8"/>
    <w:qFormat/>
    <w:rPr>
      <w:b/>
      <w:bCs/>
    </w:rPr>
  </w:style>
  <w:style w:type="character" w:customStyle="1" w:styleId="afb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 w:eastAsia="ar-SA"/>
    </w:rPr>
  </w:style>
  <w:style w:type="character" w:customStyle="1" w:styleId="afc">
    <w:name w:val="курсив"/>
    <w:rPr>
      <w:i/>
      <w:w w:val="100"/>
      <w:position w:val="-1"/>
      <w:effect w:val="none"/>
      <w:vertAlign w:val="baseline"/>
      <w:cs w:val="0"/>
      <w:em w:val="none"/>
      <w:lang w:eastAsia="uk-UA"/>
    </w:rPr>
  </w:style>
  <w:style w:type="paragraph" w:customStyle="1" w:styleId="afd">
    <w:name w:val="предметна область"/>
    <w:basedOn w:val="af5"/>
    <w:pPr>
      <w:spacing w:after="120"/>
    </w:pPr>
  </w:style>
  <w:style w:type="paragraph" w:customStyle="1" w:styleId="a">
    <w:name w:val="нумерований"/>
    <w:basedOn w:val="af5"/>
    <w:pPr>
      <w:numPr>
        <w:numId w:val="2"/>
      </w:numPr>
      <w:ind w:left="-1" w:hanging="1"/>
    </w:pPr>
    <w:rPr>
      <w:lang w:eastAsia="uk-UA"/>
    </w:rPr>
  </w:style>
  <w:style w:type="paragraph" w:customStyle="1" w:styleId="13">
    <w:name w:val="Абзац списка1"/>
    <w:pPr>
      <w:suppressAutoHyphens/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val="ru-RU" w:eastAsia="en-US"/>
    </w:rPr>
  </w:style>
  <w:style w:type="numbering" w:customStyle="1" w:styleId="List23">
    <w:name w:val="List 23"/>
    <w:basedOn w:val="a4"/>
  </w:style>
  <w:style w:type="character" w:styleId="af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niiaiieoaeno2">
    <w:name w:val="Iniiaiie oaeno 2"/>
    <w:basedOn w:val="a0"/>
    <w:pPr>
      <w:overflowPunct w:val="0"/>
      <w:autoSpaceDE w:val="0"/>
      <w:autoSpaceDN w:val="0"/>
      <w:adjustRightInd w:val="0"/>
      <w:ind w:left="-1" w:firstLine="567"/>
    </w:pPr>
    <w:rPr>
      <w:lang w:val="uk-UA"/>
    </w:rPr>
  </w:style>
  <w:style w:type="character" w:customStyle="1" w:styleId="aff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table" w:styleId="aff0">
    <w:name w:val="Table Grid"/>
    <w:basedOn w:val="a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Document Map"/>
    <w:basedOn w:val="a0"/>
    <w:qFormat/>
    <w:pPr>
      <w:widowControl w:val="0"/>
      <w:suppressAutoHyphens w:val="0"/>
      <w:ind w:left="-1"/>
    </w:pPr>
    <w:rPr>
      <w:rFonts w:ascii="Tahoma" w:hAnsi="Tahoma"/>
      <w:sz w:val="16"/>
      <w:szCs w:val="16"/>
      <w:lang w:val="uk-UA" w:eastAsia="ar-SA"/>
    </w:rPr>
  </w:style>
  <w:style w:type="character" w:customStyle="1" w:styleId="aff2">
    <w:name w:val="Схема документа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 w:eastAsia="ar-SA"/>
    </w:rPr>
  </w:style>
  <w:style w:type="paragraph" w:styleId="aff3">
    <w:name w:val="Plain Text"/>
    <w:basedOn w:val="a0"/>
    <w:pPr>
      <w:widowControl w:val="0"/>
      <w:suppressAutoHyphens w:val="0"/>
      <w:ind w:left="-1"/>
    </w:pPr>
    <w:rPr>
      <w:rFonts w:ascii="Courier New" w:eastAsia="Droid Sans Fallback" w:hAnsi="Courier New" w:cs="Courier New"/>
      <w:sz w:val="20"/>
      <w:szCs w:val="20"/>
      <w:lang w:eastAsia="zh-CN" w:bidi="hi-IN"/>
    </w:rPr>
  </w:style>
  <w:style w:type="character" w:customStyle="1" w:styleId="aff4">
    <w:name w:val="Текст Знак"/>
    <w:rPr>
      <w:rFonts w:ascii="Courier New" w:eastAsia="Droid Sans Fallback" w:hAnsi="Courier New" w:cs="Courier New"/>
      <w:w w:val="100"/>
      <w:position w:val="-1"/>
      <w:effect w:val="none"/>
      <w:vertAlign w:val="baseline"/>
      <w:cs w:val="0"/>
      <w:em w:val="none"/>
      <w:lang w:eastAsia="zh-CN" w:bidi="hi-IN"/>
    </w:rPr>
  </w:style>
  <w:style w:type="paragraph" w:customStyle="1" w:styleId="referenceitem">
    <w:name w:val="referenceitem"/>
    <w:basedOn w:val="a0"/>
    <w:pPr>
      <w:widowControl w:val="0"/>
      <w:tabs>
        <w:tab w:val="num" w:pos="720"/>
      </w:tabs>
      <w:suppressAutoHyphens w:val="0"/>
      <w:overflowPunct w:val="0"/>
      <w:autoSpaceDE w:val="0"/>
      <w:spacing w:line="220" w:lineRule="atLeast"/>
      <w:ind w:left="-1"/>
      <w:textAlignment w:val="baseline"/>
    </w:pPr>
    <w:rPr>
      <w:rFonts w:ascii="Liberation Serif" w:eastAsia="Droid Sans Fallback" w:hAnsi="Liberation Serif" w:cs="FreeSans"/>
      <w:sz w:val="18"/>
      <w:szCs w:val="20"/>
      <w:lang w:val="en-US" w:eastAsia="zh-CN" w:bidi="hi-IN"/>
    </w:rPr>
  </w:style>
  <w:style w:type="character" w:customStyle="1" w:styleId="ceurtitle">
    <w:name w:val="ceurtitle"/>
    <w:rPr>
      <w:w w:val="100"/>
      <w:position w:val="-1"/>
      <w:effect w:val="none"/>
      <w:vertAlign w:val="baseline"/>
      <w:cs w:val="0"/>
      <w:em w:val="none"/>
    </w:rPr>
  </w:style>
  <w:style w:type="paragraph" w:customStyle="1" w:styleId="210">
    <w:name w:val="Основний текст 21"/>
    <w:basedOn w:val="a0"/>
    <w:pPr>
      <w:widowControl w:val="0"/>
      <w:suppressAutoHyphens w:val="0"/>
      <w:autoSpaceDE w:val="0"/>
      <w:ind w:left="-1"/>
    </w:pPr>
    <w:rPr>
      <w:rFonts w:ascii="Liberation Serif" w:eastAsia="Droid Sans Fallback" w:hAnsi="Liberation Serif" w:cs="FreeSans"/>
      <w:sz w:val="28"/>
      <w:szCs w:val="28"/>
      <w:lang w:val="uk-UA" w:eastAsia="zh-CN" w:bidi="hi-IN"/>
    </w:rPr>
  </w:style>
  <w:style w:type="character" w:customStyle="1" w:styleId="14">
    <w:name w:val="Нижний колонтитул Знак1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aff5">
    <w:name w:val="Таблица жирный"/>
    <w:basedOn w:val="a0"/>
    <w:pPr>
      <w:overflowPunct w:val="0"/>
      <w:autoSpaceDE w:val="0"/>
      <w:autoSpaceDN w:val="0"/>
      <w:adjustRightInd w:val="0"/>
      <w:ind w:left="-1"/>
      <w:jc w:val="center"/>
      <w:textAlignment w:val="baseline"/>
    </w:pPr>
    <w:rPr>
      <w:b/>
      <w:sz w:val="26"/>
      <w:szCs w:val="26"/>
      <w:lang w:val="uk-UA"/>
    </w:rPr>
  </w:style>
  <w:style w:type="character" w:customStyle="1" w:styleId="aff6">
    <w:name w:val="Таблица жирный Знак"/>
    <w:rPr>
      <w:b/>
      <w:w w:val="100"/>
      <w:position w:val="-1"/>
      <w:sz w:val="26"/>
      <w:szCs w:val="26"/>
      <w:effect w:val="none"/>
      <w:vertAlign w:val="baseline"/>
      <w:cs w:val="0"/>
      <w:em w:val="none"/>
      <w:lang w:val="uk-UA" w:eastAsia="ru-RU"/>
    </w:rPr>
  </w:style>
  <w:style w:type="paragraph" w:customStyle="1" w:styleId="ListParagraph2">
    <w:name w:val="List Paragraph2"/>
    <w:basedOn w:val="a0"/>
    <w:pPr>
      <w:widowControl w:val="0"/>
      <w:suppressAutoHyphens w:val="0"/>
      <w:ind w:left="720" w:firstLine="709"/>
    </w:pPr>
    <w:rPr>
      <w:lang w:val="uk-UA" w:eastAsia="ar-SA"/>
    </w:rPr>
  </w:style>
  <w:style w:type="paragraph" w:styleId="aff7">
    <w:name w:val="No Spacing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customStyle="1" w:styleId="m-7193578109211682691xfmc3">
    <w:name w:val="m_-7193578109211682691xfmc3"/>
    <w:basedOn w:val="a0"/>
    <w:pPr>
      <w:spacing w:before="100" w:beforeAutospacing="1" w:after="100" w:afterAutospacing="1"/>
      <w:ind w:left="-1"/>
    </w:pPr>
    <w:rPr>
      <w:lang w:val="en-US" w:eastAsia="en-US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HTML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1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ff9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ffa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sc.knu.ua/uk/selected-subjec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sc.knu.ua/uk/library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10" Type="http://schemas.openxmlformats.org/officeDocument/2006/relationships/hyperlink" Target="http://ieeexplore.ieee.org/xpl/articleDetails.jsp?arnumber=7864353&amp;source=authorale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csc.knu.ua/uk/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Zeh3gX0NeVH1z6Z1/y/RC2Uvpw==">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24819</Words>
  <Characters>14148</Characters>
  <Application>Microsoft Office Word</Application>
  <DocSecurity>0</DocSecurity>
  <Lines>117</Lines>
  <Paragraphs>77</Paragraphs>
  <ScaleCrop>false</ScaleCrop>
  <Company/>
  <LinksUpToDate>false</LinksUpToDate>
  <CharactersWithSpaces>38890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O.Lozynsky</dc:creator>
  <cp:lastModifiedBy>game</cp:lastModifiedBy>
  <cp:revision>7</cp:revision>
  <dcterms:created xsi:type="dcterms:W3CDTF">2022-05-18T12:55:00Z</dcterms:created>
  <dcterms:modified xsi:type="dcterms:W3CDTF">2022-06-10T18:18:00Z</dcterms:modified>
</cp:coreProperties>
</file>